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32D1" w:rsidRPr="00F86B94" w:rsidRDefault="00CE32D1" w:rsidP="00CE32D1">
      <w:pPr>
        <w:pStyle w:val="Heading11"/>
      </w:pPr>
      <w:bookmarkStart w:id="0" w:name="_GoBack"/>
      <w:bookmarkEnd w:id="0"/>
      <w:r w:rsidRPr="00F86B94">
        <w:t>Appendix 1</w:t>
      </w:r>
    </w:p>
    <w:tbl>
      <w:tblPr>
        <w:tblStyle w:val="TableGrid"/>
        <w:tblW w:w="0" w:type="auto"/>
        <w:tblBorders>
          <w:left w:val="none" w:sz="0" w:space="0" w:color="auto"/>
          <w:right w:val="none" w:sz="0" w:space="0" w:color="auto"/>
        </w:tblBorders>
        <w:tblLook w:val="04A0" w:firstRow="1" w:lastRow="0" w:firstColumn="1" w:lastColumn="0" w:noHBand="0" w:noVBand="1"/>
      </w:tblPr>
      <w:tblGrid>
        <w:gridCol w:w="2830"/>
        <w:gridCol w:w="6186"/>
      </w:tblGrid>
      <w:tr w:rsidR="00CE32D1" w:rsidRPr="009A0281" w:rsidTr="00A027EA">
        <w:tc>
          <w:tcPr>
            <w:tcW w:w="9016" w:type="dxa"/>
            <w:gridSpan w:val="2"/>
            <w:tcBorders>
              <w:top w:val="nil"/>
            </w:tcBorders>
          </w:tcPr>
          <w:p w:rsidR="00CE32D1" w:rsidRPr="009A0281" w:rsidRDefault="00CE32D1" w:rsidP="00A027EA">
            <w:pPr>
              <w:spacing w:line="276" w:lineRule="auto"/>
              <w:rPr>
                <w:rFonts w:cs="Times New Roman"/>
                <w:b/>
              </w:rPr>
            </w:pPr>
            <w:r w:rsidRPr="009A0281">
              <w:rPr>
                <w:rFonts w:cs="Times New Roman"/>
                <w:b/>
              </w:rPr>
              <w:t>Glossary: Terminology and definitions</w:t>
            </w:r>
          </w:p>
        </w:tc>
      </w:tr>
      <w:tr w:rsidR="00CE32D1" w:rsidRPr="009A0281" w:rsidTr="00A027EA">
        <w:tc>
          <w:tcPr>
            <w:tcW w:w="2830" w:type="dxa"/>
            <w:tcBorders>
              <w:right w:val="nil"/>
            </w:tcBorders>
          </w:tcPr>
          <w:p w:rsidR="00CE32D1" w:rsidRPr="009A0281" w:rsidRDefault="00CE32D1" w:rsidP="00A027EA">
            <w:pPr>
              <w:spacing w:line="276" w:lineRule="auto"/>
              <w:rPr>
                <w:rFonts w:cs="Times New Roman"/>
                <w:b/>
                <w:i/>
              </w:rPr>
            </w:pPr>
            <w:r w:rsidRPr="009A0281">
              <w:rPr>
                <w:rFonts w:cs="Times New Roman"/>
                <w:b/>
                <w:i/>
              </w:rPr>
              <w:t>Terminology</w:t>
            </w:r>
          </w:p>
        </w:tc>
        <w:tc>
          <w:tcPr>
            <w:tcW w:w="6186" w:type="dxa"/>
            <w:tcBorders>
              <w:left w:val="nil"/>
            </w:tcBorders>
          </w:tcPr>
          <w:p w:rsidR="00CE32D1" w:rsidRPr="009A0281" w:rsidRDefault="00CE32D1" w:rsidP="00A027EA">
            <w:pPr>
              <w:spacing w:line="276" w:lineRule="auto"/>
              <w:rPr>
                <w:rFonts w:cs="Times New Roman"/>
                <w:b/>
                <w:i/>
              </w:rPr>
            </w:pPr>
            <w:r w:rsidRPr="009A0281">
              <w:rPr>
                <w:rFonts w:cs="Times New Roman"/>
                <w:b/>
                <w:i/>
              </w:rPr>
              <w:t>Definition</w:t>
            </w:r>
          </w:p>
        </w:tc>
      </w:tr>
      <w:tr w:rsidR="00CE32D1" w:rsidRPr="009A0281" w:rsidTr="00A027EA">
        <w:tc>
          <w:tcPr>
            <w:tcW w:w="2830" w:type="dxa"/>
            <w:tcBorders>
              <w:right w:val="nil"/>
            </w:tcBorders>
          </w:tcPr>
          <w:p w:rsidR="00CE32D1" w:rsidRPr="009A0281" w:rsidRDefault="00CE32D1" w:rsidP="00A027EA">
            <w:pPr>
              <w:spacing w:line="276" w:lineRule="auto"/>
              <w:rPr>
                <w:rFonts w:cs="Times New Roman"/>
                <w:b/>
              </w:rPr>
            </w:pPr>
            <w:r w:rsidRPr="009A0281">
              <w:rPr>
                <w:rFonts w:cs="Times New Roman"/>
                <w:b/>
              </w:rPr>
              <w:t>Indigenous peoples</w:t>
            </w:r>
          </w:p>
        </w:tc>
        <w:tc>
          <w:tcPr>
            <w:tcW w:w="6186" w:type="dxa"/>
            <w:tcBorders>
              <w:left w:val="nil"/>
            </w:tcBorders>
          </w:tcPr>
          <w:p w:rsidR="00CE32D1" w:rsidRPr="009A0281" w:rsidRDefault="00CE32D1" w:rsidP="00A027EA">
            <w:pPr>
              <w:spacing w:line="276" w:lineRule="auto"/>
              <w:rPr>
                <w:rFonts w:cs="Times New Roman"/>
              </w:rPr>
            </w:pPr>
            <w:r w:rsidRPr="009A0281">
              <w:rPr>
                <w:rFonts w:cs="Times New Roman"/>
              </w:rPr>
              <w:t xml:space="preserve">Referring collectively to all distinctive peoples worldwide who identify as being descendants of the first peoples or custodians of a specific region. </w:t>
            </w:r>
          </w:p>
        </w:tc>
      </w:tr>
      <w:tr w:rsidR="00CE32D1" w:rsidRPr="009A0281" w:rsidTr="00A027EA">
        <w:tc>
          <w:tcPr>
            <w:tcW w:w="2830" w:type="dxa"/>
            <w:tcBorders>
              <w:right w:val="nil"/>
            </w:tcBorders>
          </w:tcPr>
          <w:p w:rsidR="00CE32D1" w:rsidRPr="009A0281" w:rsidRDefault="00CE32D1" w:rsidP="00A027EA">
            <w:pPr>
              <w:spacing w:line="276" w:lineRule="auto"/>
              <w:rPr>
                <w:rFonts w:cs="Times New Roman"/>
                <w:b/>
              </w:rPr>
            </w:pPr>
            <w:r w:rsidRPr="009A0281">
              <w:rPr>
                <w:rFonts w:cs="Times New Roman"/>
                <w:b/>
              </w:rPr>
              <w:t>Aboriginal and/or Torres Strait Islander peoples/Australians</w:t>
            </w:r>
          </w:p>
        </w:tc>
        <w:tc>
          <w:tcPr>
            <w:tcW w:w="6186" w:type="dxa"/>
            <w:tcBorders>
              <w:left w:val="nil"/>
            </w:tcBorders>
          </w:tcPr>
          <w:p w:rsidR="00CE32D1" w:rsidRPr="009A0281" w:rsidRDefault="00CE32D1" w:rsidP="00A027EA">
            <w:pPr>
              <w:spacing w:line="276" w:lineRule="auto"/>
              <w:rPr>
                <w:rFonts w:cs="Times New Roman"/>
              </w:rPr>
            </w:pPr>
            <w:r w:rsidRPr="009A0281">
              <w:rPr>
                <w:rFonts w:cs="Times New Roman"/>
              </w:rPr>
              <w:t>Referring specifically to the multitude of distinct peoples and nations who were the first peoples and custodians to own the land in Australia.</w:t>
            </w:r>
          </w:p>
        </w:tc>
      </w:tr>
      <w:tr w:rsidR="00CE32D1" w:rsidRPr="009A0281" w:rsidTr="00A027EA">
        <w:tc>
          <w:tcPr>
            <w:tcW w:w="2830" w:type="dxa"/>
            <w:tcBorders>
              <w:right w:val="nil"/>
            </w:tcBorders>
          </w:tcPr>
          <w:p w:rsidR="00CE32D1" w:rsidRPr="009A0281" w:rsidRDefault="00CE32D1" w:rsidP="00A027EA">
            <w:pPr>
              <w:spacing w:line="276" w:lineRule="auto"/>
              <w:rPr>
                <w:rFonts w:cs="Times New Roman"/>
                <w:b/>
              </w:rPr>
            </w:pPr>
            <w:r w:rsidRPr="009A0281">
              <w:rPr>
                <w:rFonts w:cs="Times New Roman"/>
                <w:b/>
              </w:rPr>
              <w:t>Colonisation</w:t>
            </w:r>
          </w:p>
        </w:tc>
        <w:tc>
          <w:tcPr>
            <w:tcW w:w="6186" w:type="dxa"/>
            <w:tcBorders>
              <w:left w:val="nil"/>
            </w:tcBorders>
          </w:tcPr>
          <w:p w:rsidR="00CE32D1" w:rsidRPr="009A0281" w:rsidRDefault="00CE32D1" w:rsidP="00A027EA">
            <w:pPr>
              <w:spacing w:line="276" w:lineRule="auto"/>
              <w:rPr>
                <w:rFonts w:cs="Times New Roman"/>
              </w:rPr>
            </w:pPr>
            <w:r w:rsidRPr="009A0281">
              <w:rPr>
                <w:rFonts w:cs="Times New Roman"/>
              </w:rPr>
              <w:t xml:space="preserve">During the 1700s, British government recognised Australia to be </w:t>
            </w:r>
            <w:r w:rsidRPr="009A0281">
              <w:rPr>
                <w:rFonts w:cs="Times New Roman"/>
                <w:i/>
              </w:rPr>
              <w:t xml:space="preserve">terra nullius </w:t>
            </w:r>
            <w:r w:rsidRPr="009A0281">
              <w:rPr>
                <w:rFonts w:cs="Times New Roman"/>
              </w:rPr>
              <w:t xml:space="preserve">(a Latin word referring to a </w:t>
            </w:r>
            <w:r w:rsidRPr="009A0281">
              <w:rPr>
                <w:rFonts w:cs="Times New Roman"/>
                <w:i/>
              </w:rPr>
              <w:t>land belonging to nobody</w:t>
            </w:r>
            <w:r w:rsidRPr="009A0281">
              <w:rPr>
                <w:rFonts w:cs="Times New Roman"/>
              </w:rPr>
              <w:t>), providing a legal basis to unilaterally dispossess the land from the existing landowners. Colonisation refers to the process in which the British government began to settle and occupy the land.</w:t>
            </w:r>
          </w:p>
        </w:tc>
      </w:tr>
      <w:tr w:rsidR="00CE32D1" w:rsidRPr="009A0281" w:rsidTr="00A027EA">
        <w:tc>
          <w:tcPr>
            <w:tcW w:w="2830" w:type="dxa"/>
            <w:tcBorders>
              <w:right w:val="nil"/>
            </w:tcBorders>
          </w:tcPr>
          <w:p w:rsidR="00CE32D1" w:rsidRPr="009A0281" w:rsidRDefault="00CE32D1" w:rsidP="00A027EA">
            <w:pPr>
              <w:spacing w:line="276" w:lineRule="auto"/>
              <w:rPr>
                <w:rFonts w:cs="Times New Roman"/>
                <w:b/>
              </w:rPr>
            </w:pPr>
            <w:r w:rsidRPr="009A0281">
              <w:rPr>
                <w:rFonts w:cs="Times New Roman"/>
                <w:b/>
              </w:rPr>
              <w:t>Elders</w:t>
            </w:r>
          </w:p>
        </w:tc>
        <w:tc>
          <w:tcPr>
            <w:tcW w:w="6186" w:type="dxa"/>
            <w:tcBorders>
              <w:left w:val="nil"/>
            </w:tcBorders>
          </w:tcPr>
          <w:p w:rsidR="00CE32D1" w:rsidRPr="009A0281" w:rsidRDefault="00CE32D1" w:rsidP="00A027EA">
            <w:pPr>
              <w:spacing w:line="276" w:lineRule="auto"/>
              <w:rPr>
                <w:rFonts w:cs="Times New Roman"/>
              </w:rPr>
            </w:pPr>
            <w:r w:rsidRPr="009A0281">
              <w:t>Elders in Aboriginal communities, not to be confused with elderly people, are highly respected and recognised by the community as persons gifted with knowledge and wisdom to provide leadership, education, spiritual guidance and healing for the community.</w:t>
            </w:r>
            <w:r w:rsidRPr="009A0281">
              <w:fldChar w:fldCharType="begin"/>
            </w:r>
            <w:r>
              <w:instrText xml:space="preserve"> ADDIN EN.CITE &lt;EndNote&gt;&lt;Cite&gt;&lt;Author&gt;Australian Institute of Family Studies&lt;/Author&gt;&lt;Year&gt;2014&lt;/Year&gt;&lt;RecNum&gt;63&lt;/RecNum&gt;&lt;DisplayText&gt;[43, 44]&lt;/DisplayText&gt;&lt;record&gt;&lt;rec-number&gt;63&lt;/rec-number&gt;&lt;foreign-keys&gt;&lt;key app="EN" db-id="f9rvt9wt42wvsoe25t95paa72rd0veaxasp0" timestamp="1576559778"&gt;63&lt;/key&gt;&lt;/foreign-keys&gt;&lt;ref-type name="Web Page"&gt;12&lt;/ref-type&gt;&lt;contributors&gt;&lt;authors&gt;&lt;author&gt;Australian Institute of Family Studies,&lt;/author&gt;&lt;/authors&gt;&lt;/contributors&gt;&lt;titles&gt;&lt;title&gt;Theme 3: elderly family members are important to family functioning&lt;/title&gt;&lt;secondary-title&gt;Strengths of Australian Aboriginal cultural practices in family life and child rearing&lt;/secondary-title&gt;&lt;/titles&gt;&lt;volume&gt;2019&lt;/volume&gt;&lt;number&gt;12 Dec&lt;/number&gt;&lt;dates&gt;&lt;year&gt;2014&lt;/year&gt;&lt;/dates&gt;&lt;publisher&gt;AIFS&lt;/publisher&gt;&lt;urls&gt;&lt;related-urls&gt;&lt;url&gt;https://aifs.gov.au/cfca/publications/strengths-australian-aboriginal-cultural-practices-fam/theme-3-elderly-family-members&lt;/url&gt;&lt;/related-urls&gt;&lt;/urls&gt;&lt;/record&gt;&lt;/Cite&gt;&lt;Cite&gt;&lt;Author&gt;Menzies&lt;/Author&gt;&lt;Year&gt;2010&lt;/Year&gt;&lt;RecNum&gt;70&lt;/RecNum&gt;&lt;record&gt;&lt;rec-number&gt;70&lt;/rec-number&gt;&lt;foreign-keys&gt;&lt;key app="EN" db-id="f9rvt9wt42wvsoe25t95paa72rd0veaxasp0" timestamp="1576559779"&gt;70&lt;/key&gt;&lt;/foreign-keys&gt;&lt;ref-type name="Journal Article"&gt;17&lt;/ref-type&gt;&lt;contributors&gt;&lt;authors&gt;&lt;author&gt;Menzies, Peter&lt;/author&gt;&lt;author&gt;Bodnar, Ana&lt;/author&gt;&lt;author&gt;Harper, Vern&lt;/author&gt;&lt;/authors&gt;&lt;/contributors&gt;&lt;titles&gt;&lt;title&gt;The role of the elder within a mainstream addiction and mental health hospital: developing an integrated paradigm&lt;/title&gt;&lt;secondary-title&gt;Native Social Work Journal&lt;/secondary-title&gt;&lt;/titles&gt;&lt;periodical&gt;&lt;full-title&gt;Native Social Work Journal&lt;/full-title&gt;&lt;/periodical&gt;&lt;pages&gt;87-107&lt;/pages&gt;&lt;volume&gt;7&lt;/volume&gt;&lt;dates&gt;&lt;year&gt;2010&lt;/year&gt;&lt;/dates&gt;&lt;isbn&gt;1206-5323&lt;/isbn&gt;&lt;urls&gt;&lt;/urls&gt;&lt;/record&gt;&lt;/Cite&gt;&lt;/EndNote&gt;</w:instrText>
            </w:r>
            <w:r w:rsidRPr="009A0281">
              <w:fldChar w:fldCharType="separate"/>
            </w:r>
            <w:r>
              <w:rPr>
                <w:noProof/>
              </w:rPr>
              <w:t>[43, 44]</w:t>
            </w:r>
            <w:r w:rsidRPr="009A0281">
              <w:fldChar w:fldCharType="end"/>
            </w:r>
          </w:p>
        </w:tc>
      </w:tr>
      <w:tr w:rsidR="00CE32D1" w:rsidRPr="009A0281" w:rsidTr="00A027EA">
        <w:tc>
          <w:tcPr>
            <w:tcW w:w="2830" w:type="dxa"/>
            <w:tcBorders>
              <w:right w:val="nil"/>
            </w:tcBorders>
          </w:tcPr>
          <w:p w:rsidR="00CE32D1" w:rsidRPr="009A0281" w:rsidRDefault="00CE32D1" w:rsidP="00A027EA">
            <w:pPr>
              <w:spacing w:line="276" w:lineRule="auto"/>
              <w:rPr>
                <w:rFonts w:cs="Times New Roman"/>
                <w:b/>
              </w:rPr>
            </w:pPr>
            <w:r w:rsidRPr="009A0281">
              <w:rPr>
                <w:rFonts w:cs="Times New Roman"/>
                <w:b/>
              </w:rPr>
              <w:t>Stolen Generations</w:t>
            </w:r>
          </w:p>
        </w:tc>
        <w:tc>
          <w:tcPr>
            <w:tcW w:w="6186" w:type="dxa"/>
            <w:tcBorders>
              <w:left w:val="nil"/>
            </w:tcBorders>
          </w:tcPr>
          <w:p w:rsidR="00CE32D1" w:rsidRPr="009A0281" w:rsidRDefault="00CE32D1" w:rsidP="00A027EA">
            <w:pPr>
              <w:spacing w:line="276" w:lineRule="auto"/>
              <w:rPr>
                <w:rFonts w:cs="Times New Roman"/>
              </w:rPr>
            </w:pPr>
            <w:r w:rsidRPr="009A0281">
              <w:rPr>
                <w:rFonts w:cs="Times New Roman"/>
              </w:rPr>
              <w:t>The Australian government’s policy of assimilation (1937-1973) aimed to remove all other cultures and languages practised by Aboriginal and Torres Strait Islander peoples. This policy led to the forcible removal of many Aboriginal and Torres Strait Islander children from their parents to assimilate into Western society. The children who were removed from their families are known as the ‘Stolen Generations’.</w:t>
            </w:r>
          </w:p>
        </w:tc>
      </w:tr>
      <w:tr w:rsidR="00CE32D1" w:rsidRPr="009A0281" w:rsidTr="00A027EA">
        <w:tc>
          <w:tcPr>
            <w:tcW w:w="2830" w:type="dxa"/>
            <w:tcBorders>
              <w:right w:val="nil"/>
            </w:tcBorders>
          </w:tcPr>
          <w:p w:rsidR="00CE32D1" w:rsidRPr="009A0281" w:rsidRDefault="00CE32D1" w:rsidP="00A027EA">
            <w:pPr>
              <w:spacing w:line="276" w:lineRule="auto"/>
              <w:rPr>
                <w:rFonts w:cs="Times New Roman"/>
                <w:b/>
              </w:rPr>
            </w:pPr>
            <w:r w:rsidRPr="009A0281">
              <w:rPr>
                <w:rFonts w:cs="Times New Roman"/>
                <w:b/>
              </w:rPr>
              <w:t>Intergenerational trauma</w:t>
            </w:r>
          </w:p>
        </w:tc>
        <w:tc>
          <w:tcPr>
            <w:tcW w:w="6186" w:type="dxa"/>
            <w:tcBorders>
              <w:left w:val="nil"/>
            </w:tcBorders>
          </w:tcPr>
          <w:p w:rsidR="00CE32D1" w:rsidRPr="009A0281" w:rsidRDefault="00CE32D1" w:rsidP="00A027EA">
            <w:pPr>
              <w:spacing w:line="276" w:lineRule="auto"/>
              <w:rPr>
                <w:rFonts w:cs="Times New Roman"/>
              </w:rPr>
            </w:pPr>
            <w:r w:rsidRPr="009A0281">
              <w:rPr>
                <w:rFonts w:cs="Times New Roman"/>
              </w:rPr>
              <w:t>Trauma refers to a person’s response to an overwhelming event that leaves a person unable to cope with the experience. British colonisation and the subsequent Australian policies dispossessed many Aboriginal and Torres Strait Islander Australians from culture, land, language, kinship group and identity. For some people, the trauma from colonisation ha</w:t>
            </w:r>
            <w:r>
              <w:rPr>
                <w:rFonts w:cs="Times New Roman"/>
              </w:rPr>
              <w:t>s</w:t>
            </w:r>
            <w:r w:rsidRPr="009A0281">
              <w:rPr>
                <w:rFonts w:cs="Times New Roman"/>
              </w:rPr>
              <w:t xml:space="preserve"> been passed down from older to younger generations in the form of mental health problems, violence, parenting practices and behavioural problems. </w:t>
            </w:r>
          </w:p>
        </w:tc>
      </w:tr>
      <w:tr w:rsidR="00CE32D1" w:rsidRPr="009A0281" w:rsidTr="00A027EA">
        <w:tc>
          <w:tcPr>
            <w:tcW w:w="2830" w:type="dxa"/>
            <w:tcBorders>
              <w:right w:val="nil"/>
            </w:tcBorders>
          </w:tcPr>
          <w:p w:rsidR="00CE32D1" w:rsidRPr="009A0281" w:rsidRDefault="00CE32D1" w:rsidP="00A027EA">
            <w:pPr>
              <w:spacing w:line="276" w:lineRule="auto"/>
              <w:rPr>
                <w:rFonts w:cs="Times New Roman"/>
                <w:b/>
              </w:rPr>
            </w:pPr>
            <w:r w:rsidRPr="009A0281">
              <w:rPr>
                <w:rFonts w:cs="Times New Roman"/>
                <w:b/>
              </w:rPr>
              <w:t>Confirmation of Aboriginality</w:t>
            </w:r>
          </w:p>
        </w:tc>
        <w:tc>
          <w:tcPr>
            <w:tcW w:w="6186" w:type="dxa"/>
            <w:tcBorders>
              <w:left w:val="nil"/>
            </w:tcBorders>
          </w:tcPr>
          <w:p w:rsidR="00CE32D1" w:rsidRPr="009A0281" w:rsidRDefault="00CE32D1" w:rsidP="00A027EA">
            <w:pPr>
              <w:spacing w:line="276" w:lineRule="auto"/>
              <w:rPr>
                <w:rFonts w:cs="Times New Roman"/>
              </w:rPr>
            </w:pPr>
            <w:r w:rsidRPr="009A0281">
              <w:rPr>
                <w:rFonts w:cs="Times New Roman"/>
              </w:rPr>
              <w:t>Certain organisations may request people to provide a ‘Confirmation of Aboriginality’ to access Aboriginal-specific services or programs. To acquire these documents will require the applicant to meet the criteria of being and identifying as Aboriginal or Torres Strait Islander descent and being accepted as such in the community in which a person lives or previously resided. Applications for the confirmation are typically reviewed by a registered Aboriginal community organisation, which will also issue the documentation.</w:t>
            </w:r>
          </w:p>
        </w:tc>
      </w:tr>
      <w:tr w:rsidR="00CE32D1" w:rsidRPr="009A0281" w:rsidTr="00A027EA">
        <w:tc>
          <w:tcPr>
            <w:tcW w:w="2830" w:type="dxa"/>
            <w:tcBorders>
              <w:right w:val="nil"/>
            </w:tcBorders>
          </w:tcPr>
          <w:p w:rsidR="00CE32D1" w:rsidRPr="009A0281" w:rsidRDefault="00CE32D1" w:rsidP="00A027EA">
            <w:pPr>
              <w:spacing w:line="276" w:lineRule="auto"/>
              <w:rPr>
                <w:rFonts w:cs="Times New Roman"/>
                <w:b/>
              </w:rPr>
            </w:pPr>
            <w:r w:rsidRPr="009A0281">
              <w:rPr>
                <w:rFonts w:cs="Times New Roman"/>
                <w:b/>
              </w:rPr>
              <w:t>Shame</w:t>
            </w:r>
          </w:p>
        </w:tc>
        <w:tc>
          <w:tcPr>
            <w:tcW w:w="6186" w:type="dxa"/>
            <w:tcBorders>
              <w:left w:val="nil"/>
            </w:tcBorders>
          </w:tcPr>
          <w:p w:rsidR="00CE32D1" w:rsidRPr="009A0281" w:rsidRDefault="00CE32D1" w:rsidP="00A027EA">
            <w:pPr>
              <w:spacing w:line="276" w:lineRule="auto"/>
              <w:rPr>
                <w:rFonts w:cs="Times New Roman"/>
              </w:rPr>
            </w:pPr>
            <w:r w:rsidRPr="009A0281">
              <w:rPr>
                <w:rFonts w:cs="Times New Roman"/>
              </w:rPr>
              <w:t xml:space="preserve">While the English word ‘shame’ is typically used to refer to feelings of humiliation caused by doing something wrong, the </w:t>
            </w:r>
            <w:r w:rsidRPr="009A0281">
              <w:rPr>
                <w:rFonts w:cs="Times New Roman"/>
              </w:rPr>
              <w:lastRenderedPageBreak/>
              <w:t>AHWs in this study and Aboriginal peoples more broadly, appropriate this word to encompass feelings associated with a fear of disapproval or judgement, shyness, embarrassment, a lack of respect and breaches of cultural and social norms.</w:t>
            </w:r>
          </w:p>
        </w:tc>
      </w:tr>
      <w:tr w:rsidR="00CE32D1" w:rsidRPr="009A0281" w:rsidTr="00A027EA">
        <w:tc>
          <w:tcPr>
            <w:tcW w:w="2830" w:type="dxa"/>
            <w:tcBorders>
              <w:right w:val="nil"/>
            </w:tcBorders>
          </w:tcPr>
          <w:p w:rsidR="00CE32D1" w:rsidRPr="009A0281" w:rsidRDefault="00CE32D1" w:rsidP="00A027EA">
            <w:pPr>
              <w:spacing w:line="276" w:lineRule="auto"/>
              <w:rPr>
                <w:rFonts w:cs="Times New Roman"/>
                <w:b/>
              </w:rPr>
            </w:pPr>
            <w:r w:rsidRPr="009A0281">
              <w:rPr>
                <w:rFonts w:cs="Times New Roman"/>
                <w:b/>
              </w:rPr>
              <w:lastRenderedPageBreak/>
              <w:t>ACCHS (Aboriginal community-controlled health service) /AMS (Aboriginal medical service)</w:t>
            </w:r>
          </w:p>
        </w:tc>
        <w:tc>
          <w:tcPr>
            <w:tcW w:w="6186" w:type="dxa"/>
            <w:tcBorders>
              <w:left w:val="nil"/>
            </w:tcBorders>
          </w:tcPr>
          <w:p w:rsidR="00CE32D1" w:rsidRPr="009A0281" w:rsidRDefault="00CE32D1" w:rsidP="00A027EA">
            <w:pPr>
              <w:spacing w:line="276" w:lineRule="auto"/>
              <w:rPr>
                <w:rFonts w:cs="Times New Roman"/>
              </w:rPr>
            </w:pPr>
            <w:r w:rsidRPr="009A0281">
              <w:rPr>
                <w:rFonts w:cs="Times New Roman"/>
              </w:rPr>
              <w:t>A non-government primary health care service that is initiated by, based in, and provides health services and programs for the local Aboriginal community. Health services and programs that are delivered through ACCHSs and AMSs focus on providing holistic and culturally competent health care.</w:t>
            </w:r>
          </w:p>
        </w:tc>
      </w:tr>
      <w:tr w:rsidR="00CE32D1" w:rsidRPr="009A0281" w:rsidTr="00A027EA">
        <w:tc>
          <w:tcPr>
            <w:tcW w:w="2830" w:type="dxa"/>
            <w:tcBorders>
              <w:right w:val="nil"/>
            </w:tcBorders>
          </w:tcPr>
          <w:p w:rsidR="00CE32D1" w:rsidRPr="009A0281" w:rsidRDefault="00CE32D1" w:rsidP="00A027EA">
            <w:pPr>
              <w:spacing w:line="276" w:lineRule="auto"/>
              <w:rPr>
                <w:rFonts w:cs="Times New Roman"/>
                <w:b/>
              </w:rPr>
            </w:pPr>
            <w:r w:rsidRPr="009A0281">
              <w:rPr>
                <w:rFonts w:cs="Times New Roman"/>
                <w:b/>
              </w:rPr>
              <w:t>Decolonisation</w:t>
            </w:r>
          </w:p>
        </w:tc>
        <w:tc>
          <w:tcPr>
            <w:tcW w:w="6186" w:type="dxa"/>
            <w:tcBorders>
              <w:left w:val="nil"/>
            </w:tcBorders>
          </w:tcPr>
          <w:p w:rsidR="00CE32D1" w:rsidRPr="009A0281" w:rsidRDefault="00CE32D1" w:rsidP="00A027EA">
            <w:pPr>
              <w:spacing w:line="276" w:lineRule="auto"/>
              <w:rPr>
                <w:rFonts w:cs="Times New Roman"/>
              </w:rPr>
            </w:pPr>
            <w:r w:rsidRPr="009A0281">
              <w:rPr>
                <w:rFonts w:cs="Times New Roman"/>
              </w:rPr>
              <w:t xml:space="preserve">Decolonisation refers to the process of undoing colonialism. While this can refer to the dismantling of colonial empires, existing cultures, practices, systems, attitudes and policies continue to perpetuate the philosophies underpinning colonialism. Decolonisation in this context is the process undertaken by systems and individuals to challenge dominant perspectives and restore Indigenous </w:t>
            </w:r>
            <w:proofErr w:type="spellStart"/>
            <w:r w:rsidRPr="009A0281">
              <w:rPr>
                <w:rFonts w:cs="Times New Roman"/>
              </w:rPr>
              <w:t>knowledges</w:t>
            </w:r>
            <w:proofErr w:type="spellEnd"/>
            <w:r w:rsidRPr="009A0281">
              <w:rPr>
                <w:rFonts w:cs="Times New Roman"/>
              </w:rPr>
              <w:t>, cultures and ways.</w:t>
            </w:r>
          </w:p>
        </w:tc>
      </w:tr>
      <w:tr w:rsidR="00CE32D1" w:rsidRPr="009A0281" w:rsidTr="00A027EA">
        <w:tc>
          <w:tcPr>
            <w:tcW w:w="2830" w:type="dxa"/>
            <w:tcBorders>
              <w:right w:val="nil"/>
            </w:tcBorders>
          </w:tcPr>
          <w:p w:rsidR="00CE32D1" w:rsidRPr="009A0281" w:rsidRDefault="00CE32D1" w:rsidP="00A027EA">
            <w:pPr>
              <w:spacing w:line="276" w:lineRule="auto"/>
              <w:rPr>
                <w:rFonts w:cs="Times New Roman"/>
                <w:b/>
                <w:highlight w:val="yellow"/>
              </w:rPr>
            </w:pPr>
            <w:r w:rsidRPr="009A0281">
              <w:rPr>
                <w:rFonts w:cs="Times New Roman"/>
                <w:b/>
              </w:rPr>
              <w:t>Cultural competence</w:t>
            </w:r>
          </w:p>
        </w:tc>
        <w:tc>
          <w:tcPr>
            <w:tcW w:w="6186" w:type="dxa"/>
            <w:tcBorders>
              <w:left w:val="nil"/>
            </w:tcBorders>
          </w:tcPr>
          <w:p w:rsidR="00CE32D1" w:rsidRPr="009A0281" w:rsidRDefault="00CE32D1" w:rsidP="00A027EA">
            <w:pPr>
              <w:spacing w:line="276" w:lineRule="auto"/>
              <w:rPr>
                <w:rFonts w:cs="Times New Roman"/>
                <w:highlight w:val="yellow"/>
              </w:rPr>
            </w:pPr>
            <w:r w:rsidRPr="009A0281">
              <w:rPr>
                <w:rFonts w:cs="Times New Roman"/>
              </w:rPr>
              <w:t>Cultural competency in this paper refers to the practices, beliefs and policies that facilitate individuals and systems to provide effective cross-cultural healthcare.</w:t>
            </w:r>
            <w:r w:rsidRPr="009A0281">
              <w:rPr>
                <w:rFonts w:cs="Times New Roman"/>
                <w:highlight w:val="yellow"/>
              </w:rPr>
              <w:t xml:space="preserve"> </w:t>
            </w:r>
          </w:p>
        </w:tc>
      </w:tr>
    </w:tbl>
    <w:p w:rsidR="008834F4" w:rsidRDefault="008834F4"/>
    <w:sectPr w:rsidR="008834F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32D1"/>
    <w:rsid w:val="008834F4"/>
    <w:rsid w:val="00CE32D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DC5D1D-AF78-4A99-96C7-05C5B734E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32D1"/>
    <w:pPr>
      <w:spacing w:line="480" w:lineRule="auto"/>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1">
    <w:name w:val="Heading 11"/>
    <w:basedOn w:val="Normal"/>
    <w:next w:val="Normal"/>
    <w:uiPriority w:val="9"/>
    <w:qFormat/>
    <w:rsid w:val="00CE32D1"/>
    <w:pPr>
      <w:keepNext/>
      <w:keepLines/>
      <w:spacing w:before="240" w:after="0"/>
      <w:outlineLvl w:val="0"/>
    </w:pPr>
    <w:rPr>
      <w:rFonts w:ascii="Cambria" w:eastAsia="Times New Roman" w:hAnsi="Cambria" w:cs="Times New Roman"/>
      <w:b/>
      <w:i/>
      <w:sz w:val="28"/>
      <w:szCs w:val="32"/>
    </w:rPr>
  </w:style>
  <w:style w:type="table" w:styleId="TableGrid">
    <w:name w:val="Table Grid"/>
    <w:basedOn w:val="TableNormal"/>
    <w:uiPriority w:val="59"/>
    <w:rsid w:val="00CE32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857</Words>
  <Characters>4890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Western Sydney University</Company>
  <LinksUpToDate>false</LinksUpToDate>
  <CharactersWithSpaces>5736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Ariana Kong</dc:creator>
  <cp:keywords/>
  <dc:description/>
  <cp:lastModifiedBy>Ariana Kong</cp:lastModifiedBy>
  <cp:revision>1</cp:revision>
  <dcterms:created xsi:type="dcterms:W3CDTF">2019-12-25T06:42:00Z</dcterms:created>
  <dcterms:modified xsi:type="dcterms:W3CDTF">2019-12-25T06:42:00Z</dcterms:modified>
</cp:coreProperties>
</file>