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406B" w:rsidRDefault="00920D24">
      <w:pPr>
        <w:jc w:val="both"/>
        <w:rPr>
          <w:rFonts w:ascii="Arial" w:eastAsia="Arial" w:hAnsi="Arial" w:cs="Arial"/>
          <w:color w:val="000000"/>
          <w:sz w:val="20"/>
          <w:szCs w:val="20"/>
        </w:rPr>
      </w:pPr>
      <w:r>
        <w:rPr>
          <w:rFonts w:ascii="Arial" w:eastAsia="Arial" w:hAnsi="Arial" w:cs="Arial"/>
          <w:color w:val="000000"/>
          <w:sz w:val="20"/>
          <w:szCs w:val="20"/>
        </w:rPr>
        <w:t>Additional file 1</w:t>
      </w:r>
    </w:p>
    <w:p w:rsidR="00B4406B" w:rsidRDefault="00B4406B">
      <w:pPr>
        <w:jc w:val="both"/>
        <w:rPr>
          <w:rFonts w:ascii="Arial" w:eastAsia="Arial" w:hAnsi="Arial" w:cs="Arial"/>
          <w:color w:val="000000"/>
          <w:sz w:val="20"/>
          <w:szCs w:val="20"/>
        </w:rPr>
      </w:pPr>
    </w:p>
    <w:p w:rsidR="00B4406B" w:rsidRDefault="00B4406B">
      <w:pPr>
        <w:jc w:val="both"/>
        <w:rPr>
          <w:rFonts w:ascii="Arial" w:eastAsia="Arial" w:hAnsi="Arial" w:cs="Arial"/>
          <w:color w:val="000000"/>
          <w:sz w:val="20"/>
          <w:szCs w:val="20"/>
        </w:rPr>
      </w:pPr>
    </w:p>
    <w:p w:rsidR="00B4406B" w:rsidRPr="00DA5526" w:rsidRDefault="00FA2212">
      <w:pPr>
        <w:jc w:val="both"/>
        <w:rPr>
          <w:rFonts w:ascii="Arial" w:eastAsia="Arial" w:hAnsi="Arial" w:cs="Arial"/>
          <w:color w:val="000000"/>
          <w:sz w:val="20"/>
          <w:szCs w:val="20"/>
          <w:u w:val="single"/>
        </w:rPr>
      </w:pPr>
      <w:r w:rsidRPr="00DA5526">
        <w:rPr>
          <w:rFonts w:ascii="Arial" w:eastAsia="Arial" w:hAnsi="Arial" w:cs="Arial"/>
          <w:b/>
          <w:color w:val="000000"/>
          <w:sz w:val="20"/>
          <w:szCs w:val="20"/>
          <w:u w:val="single"/>
        </w:rPr>
        <w:t>Supplementa</w:t>
      </w:r>
      <w:r w:rsidR="004A19F0">
        <w:rPr>
          <w:rFonts w:ascii="Arial" w:eastAsia="Arial" w:hAnsi="Arial" w:cs="Arial"/>
          <w:b/>
          <w:color w:val="000000"/>
          <w:sz w:val="20"/>
          <w:szCs w:val="20"/>
          <w:u w:val="single"/>
        </w:rPr>
        <w:t>ry</w:t>
      </w:r>
      <w:r w:rsidRPr="00DA5526">
        <w:rPr>
          <w:rFonts w:ascii="Arial" w:eastAsia="Arial" w:hAnsi="Arial" w:cs="Arial"/>
          <w:b/>
          <w:color w:val="000000"/>
          <w:sz w:val="20"/>
          <w:szCs w:val="20"/>
          <w:u w:val="single"/>
        </w:rPr>
        <w:t xml:space="preserve"> M</w:t>
      </w:r>
      <w:r w:rsidR="00920D24" w:rsidRPr="00DA5526">
        <w:rPr>
          <w:rFonts w:ascii="Arial" w:eastAsia="Arial" w:hAnsi="Arial" w:cs="Arial"/>
          <w:b/>
          <w:color w:val="000000"/>
          <w:sz w:val="20"/>
          <w:szCs w:val="20"/>
          <w:u w:val="single"/>
        </w:rPr>
        <w:t>ethods:</w:t>
      </w:r>
      <w:r w:rsidR="00DA5526" w:rsidRPr="00DA5526">
        <w:rPr>
          <w:rFonts w:ascii="Arial" w:eastAsia="Arial" w:hAnsi="Arial" w:cs="Arial"/>
          <w:b/>
          <w:color w:val="000000"/>
          <w:sz w:val="20"/>
          <w:szCs w:val="20"/>
          <w:u w:val="single"/>
        </w:rPr>
        <w:t xml:space="preserve"> </w:t>
      </w:r>
      <w:r w:rsidR="00DA5526" w:rsidRPr="00DA5526">
        <w:rPr>
          <w:rFonts w:ascii="Arial" w:eastAsia="Arial" w:hAnsi="Arial" w:cs="Arial"/>
          <w:color w:val="000000"/>
          <w:sz w:val="20"/>
          <w:szCs w:val="20"/>
        </w:rPr>
        <w:t xml:space="preserve">Sequencing, </w:t>
      </w:r>
      <w:r w:rsidR="00D65240">
        <w:rPr>
          <w:rFonts w:ascii="Arial" w:eastAsia="Arial" w:hAnsi="Arial" w:cs="Arial"/>
          <w:color w:val="000000"/>
          <w:sz w:val="20"/>
          <w:szCs w:val="20"/>
        </w:rPr>
        <w:t>g</w:t>
      </w:r>
      <w:r w:rsidR="00DA5526" w:rsidRPr="00DA5526">
        <w:rPr>
          <w:rFonts w:ascii="Arial" w:eastAsia="Arial" w:hAnsi="Arial" w:cs="Arial"/>
          <w:color w:val="000000"/>
          <w:sz w:val="20"/>
          <w:szCs w:val="20"/>
        </w:rPr>
        <w:t>enome assembly</w:t>
      </w:r>
      <w:r w:rsidR="00C36DC1">
        <w:rPr>
          <w:rFonts w:ascii="Arial" w:eastAsia="Arial" w:hAnsi="Arial" w:cs="Arial"/>
          <w:color w:val="000000"/>
          <w:sz w:val="20"/>
          <w:szCs w:val="20"/>
        </w:rPr>
        <w:t xml:space="preserve"> and</w:t>
      </w:r>
      <w:r w:rsidR="00D65240">
        <w:rPr>
          <w:rFonts w:ascii="Arial" w:eastAsia="Arial" w:hAnsi="Arial" w:cs="Arial"/>
          <w:color w:val="000000"/>
          <w:sz w:val="20"/>
          <w:szCs w:val="20"/>
        </w:rPr>
        <w:t xml:space="preserve"> </w:t>
      </w:r>
      <w:r w:rsidR="00DA5526" w:rsidRPr="00DA5526">
        <w:rPr>
          <w:rFonts w:ascii="Arial" w:eastAsia="Arial" w:hAnsi="Arial" w:cs="Arial"/>
          <w:color w:val="000000"/>
          <w:sz w:val="20"/>
          <w:szCs w:val="20"/>
        </w:rPr>
        <w:t>construction of pseudomolecule chromosomes,</w:t>
      </w:r>
      <w:r w:rsidR="00D65240">
        <w:rPr>
          <w:rFonts w:ascii="Arial" w:eastAsia="Arial" w:hAnsi="Arial" w:cs="Arial"/>
          <w:color w:val="000000"/>
          <w:sz w:val="20"/>
          <w:szCs w:val="20"/>
        </w:rPr>
        <w:t xml:space="preserve"> and</w:t>
      </w:r>
      <w:r w:rsidR="00DA5526" w:rsidRPr="00DA5526">
        <w:rPr>
          <w:rFonts w:ascii="Arial" w:eastAsia="Arial" w:hAnsi="Arial" w:cs="Arial"/>
          <w:color w:val="000000"/>
          <w:sz w:val="20"/>
          <w:szCs w:val="20"/>
        </w:rPr>
        <w:t xml:space="preserve"> </w:t>
      </w:r>
      <w:r w:rsidR="00DA5526" w:rsidRPr="00DA5526">
        <w:rPr>
          <w:rFonts w:ascii="Arial" w:eastAsia="Arial" w:hAnsi="Arial" w:cs="Arial"/>
          <w:sz w:val="20"/>
          <w:szCs w:val="20"/>
        </w:rPr>
        <w:t>BAC library construction</w:t>
      </w:r>
      <w:r w:rsidR="00D65240">
        <w:rPr>
          <w:rFonts w:ascii="Arial" w:eastAsia="Arial" w:hAnsi="Arial" w:cs="Arial"/>
          <w:sz w:val="20"/>
          <w:szCs w:val="20"/>
        </w:rPr>
        <w:t>.</w:t>
      </w:r>
    </w:p>
    <w:p w:rsidR="00B4406B" w:rsidRDefault="00B4406B">
      <w:pPr>
        <w:jc w:val="both"/>
        <w:rPr>
          <w:b/>
          <w:i/>
          <w:color w:val="000000"/>
        </w:rPr>
      </w:pPr>
    </w:p>
    <w:p w:rsidR="00B4406B" w:rsidRDefault="00B4406B">
      <w:pPr>
        <w:jc w:val="both"/>
        <w:rPr>
          <w:b/>
          <w:i/>
          <w:color w:val="000000"/>
        </w:rPr>
      </w:pPr>
    </w:p>
    <w:p w:rsidR="00B4406B" w:rsidRDefault="00920D24">
      <w:pPr>
        <w:spacing w:line="276" w:lineRule="auto"/>
        <w:jc w:val="both"/>
        <w:rPr>
          <w:rFonts w:ascii="Arial" w:eastAsia="Arial" w:hAnsi="Arial" w:cs="Arial"/>
          <w:sz w:val="20"/>
          <w:szCs w:val="20"/>
        </w:rPr>
      </w:pPr>
      <w:r>
        <w:rPr>
          <w:rFonts w:ascii="Arial" w:eastAsia="Arial" w:hAnsi="Arial" w:cs="Arial"/>
          <w:b/>
          <w:i/>
          <w:color w:val="000000"/>
          <w:sz w:val="20"/>
          <w:szCs w:val="20"/>
        </w:rPr>
        <w:t>Sequencing</w:t>
      </w:r>
      <w:r>
        <w:rPr>
          <w:rFonts w:ascii="Arial" w:eastAsia="Arial" w:hAnsi="Arial" w:cs="Arial"/>
          <w:b/>
          <w:color w:val="000000"/>
          <w:sz w:val="20"/>
          <w:szCs w:val="20"/>
        </w:rPr>
        <w:t xml:space="preserve">: </w:t>
      </w:r>
      <w:r>
        <w:rPr>
          <w:rFonts w:ascii="Arial" w:eastAsia="Arial" w:hAnsi="Arial" w:cs="Arial"/>
          <w:color w:val="000000"/>
          <w:sz w:val="20"/>
          <w:szCs w:val="20"/>
        </w:rPr>
        <w:t xml:space="preserve">We sequenced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xml:space="preserve">) using a whole genome shotgun sequencing strategy and standard sequencing protocols. Sequencing reads were collected using Illumina, PACBIO, and Sanger platforms. Illumina, PACBIO, and Sanger reads were sequenced at the Department of Energy (DOE) Joint Genome Institute (JGI) in Walnut Creek, California and the </w:t>
      </w:r>
      <w:proofErr w:type="spellStart"/>
      <w:r>
        <w:rPr>
          <w:rFonts w:ascii="Arial" w:eastAsia="Arial" w:hAnsi="Arial" w:cs="Arial"/>
          <w:color w:val="000000"/>
          <w:sz w:val="20"/>
          <w:szCs w:val="20"/>
        </w:rPr>
        <w:t>HudsonAlpha</w:t>
      </w:r>
      <w:proofErr w:type="spellEnd"/>
      <w:r>
        <w:rPr>
          <w:rFonts w:ascii="Arial" w:eastAsia="Arial" w:hAnsi="Arial" w:cs="Arial"/>
          <w:color w:val="000000"/>
          <w:sz w:val="20"/>
          <w:szCs w:val="20"/>
        </w:rPr>
        <w:t xml:space="preserve"> Institute in Huntsville, Alabama. Sanger BACs were sequenced using </w:t>
      </w:r>
      <w:r>
        <w:rPr>
          <w:rFonts w:ascii="Arial" w:eastAsia="Arial" w:hAnsi="Arial" w:cs="Arial"/>
          <w:sz w:val="20"/>
          <w:szCs w:val="20"/>
        </w:rPr>
        <w:t xml:space="preserve">an ABI 3730XL capillary sequencer. Illumina reads were sequenced using the Illumina </w:t>
      </w:r>
      <w:proofErr w:type="spellStart"/>
      <w:r>
        <w:rPr>
          <w:rFonts w:ascii="Arial" w:eastAsia="Arial" w:hAnsi="Arial" w:cs="Arial"/>
          <w:sz w:val="20"/>
          <w:szCs w:val="20"/>
        </w:rPr>
        <w:t>MISeq</w:t>
      </w:r>
      <w:proofErr w:type="spellEnd"/>
      <w:r>
        <w:rPr>
          <w:rFonts w:ascii="Arial" w:eastAsia="Arial" w:hAnsi="Arial" w:cs="Arial"/>
          <w:sz w:val="20"/>
          <w:szCs w:val="20"/>
        </w:rPr>
        <w:t>/</w:t>
      </w:r>
      <w:proofErr w:type="spellStart"/>
      <w:r>
        <w:rPr>
          <w:rFonts w:ascii="Arial" w:eastAsia="Arial" w:hAnsi="Arial" w:cs="Arial"/>
          <w:sz w:val="20"/>
          <w:szCs w:val="20"/>
        </w:rPr>
        <w:t>HISeq</w:t>
      </w:r>
      <w:proofErr w:type="spellEnd"/>
      <w:r>
        <w:rPr>
          <w:rFonts w:ascii="Arial" w:eastAsia="Arial" w:hAnsi="Arial" w:cs="Arial"/>
          <w:sz w:val="20"/>
          <w:szCs w:val="20"/>
        </w:rPr>
        <w:t xml:space="preserve"> platform, and the PACBIO reads were sequenced using the RSII platform. One BAC library was sequenced using Sanger sequencing (9.2x clone coverage). One 400bp insert 2x250 Illumina fragment library (34.1x), two 800bp insert 2x250 Illumina fragment libraries (69.3x), two 4kb insert 2x150 Illumina mate pair libraries (22.3x), and one 7kb insert 2x150 Illumina mate pair library (10.9x) were obtained for a total of 136.6x coverage. Additionally, four 10X genomics chromium 2x150 libraries (335x) were sequenced (See Table S1). Prior to assembly, all Illumina reads were screened for mitochondria, chloroplast, and Phix contamination. Reads composed of &gt;95% simple sequence </w:t>
      </w:r>
      <w:proofErr w:type="gramStart"/>
      <w:r>
        <w:rPr>
          <w:rFonts w:ascii="Arial" w:eastAsia="Arial" w:hAnsi="Arial" w:cs="Arial"/>
          <w:sz w:val="20"/>
          <w:szCs w:val="20"/>
        </w:rPr>
        <w:t>were</w:t>
      </w:r>
      <w:proofErr w:type="gramEnd"/>
      <w:r>
        <w:rPr>
          <w:rFonts w:ascii="Arial" w:eastAsia="Arial" w:hAnsi="Arial" w:cs="Arial"/>
          <w:sz w:val="20"/>
          <w:szCs w:val="20"/>
        </w:rPr>
        <w:t xml:space="preserve"> removed. Illumina reads &lt;75bp after trimming for adapter and quality (q&lt;20) were removed. An additional deduplication step was performed on the Illumina mate pairs that identifies and retains only one copy of each PCR duplicate. </w:t>
      </w:r>
      <w:r>
        <w:rPr>
          <w:rFonts w:ascii="Arial" w:eastAsia="Arial" w:hAnsi="Arial" w:cs="Arial"/>
          <w:color w:val="000000"/>
          <w:sz w:val="20"/>
          <w:szCs w:val="20"/>
        </w:rPr>
        <w:t xml:space="preserve">The final read set consists of 248,531,203 reads for a total of 206.52x of </w:t>
      </w:r>
      <w:proofErr w:type="gramStart"/>
      <w:r>
        <w:rPr>
          <w:rFonts w:ascii="Arial" w:eastAsia="Arial" w:hAnsi="Arial" w:cs="Arial"/>
          <w:color w:val="000000"/>
          <w:sz w:val="20"/>
          <w:szCs w:val="20"/>
        </w:rPr>
        <w:t>high quality</w:t>
      </w:r>
      <w:proofErr w:type="gramEnd"/>
      <w:r>
        <w:rPr>
          <w:rFonts w:ascii="Arial" w:eastAsia="Arial" w:hAnsi="Arial" w:cs="Arial"/>
          <w:color w:val="000000"/>
          <w:sz w:val="20"/>
          <w:szCs w:val="20"/>
        </w:rPr>
        <w:t xml:space="preserve"> Illumina bases, along with 845,500,242 reads for a total of 335x high quality 10X chromium bases.</w:t>
      </w:r>
      <w:r>
        <w:rPr>
          <w:rFonts w:ascii="Arial" w:eastAsia="Arial" w:hAnsi="Arial" w:cs="Arial"/>
          <w:sz w:val="20"/>
          <w:szCs w:val="20"/>
        </w:rPr>
        <w:t xml:space="preserve"> For the PACBIO sequencing, 42 chips (P6C4 chemistry) were sequenced with a total yield of 32.4 Gb (81.0x), a single pass yield of 24.3 Gb (60.72x) with 22.12 Gb &gt;5kb (See Table S2). After error correction, a total of 20.4 Gb (51.0x) was used in the assembly.</w:t>
      </w:r>
    </w:p>
    <w:p w:rsidR="00B4406B" w:rsidRDefault="00B4406B">
      <w:pPr>
        <w:spacing w:line="276" w:lineRule="auto"/>
        <w:jc w:val="both"/>
        <w:rPr>
          <w:rFonts w:ascii="Arial" w:eastAsia="Arial" w:hAnsi="Arial" w:cs="Arial"/>
          <w:sz w:val="20"/>
          <w:szCs w:val="20"/>
        </w:rPr>
      </w:pPr>
    </w:p>
    <w:p w:rsidR="00B4406B" w:rsidRDefault="00920D24">
      <w:pPr>
        <w:jc w:val="both"/>
        <w:rPr>
          <w:rFonts w:ascii="Arial" w:eastAsia="Arial" w:hAnsi="Arial" w:cs="Arial"/>
          <w:b/>
          <w:i/>
          <w:color w:val="000000"/>
          <w:sz w:val="20"/>
          <w:szCs w:val="20"/>
        </w:rPr>
      </w:pPr>
      <w:r>
        <w:rPr>
          <w:rFonts w:ascii="Arial" w:eastAsia="Arial" w:hAnsi="Arial" w:cs="Arial"/>
          <w:b/>
          <w:i/>
          <w:color w:val="000000"/>
          <w:sz w:val="20"/>
          <w:szCs w:val="20"/>
        </w:rPr>
        <w:t xml:space="preserve">Genome assembly and construction of pseudomolecule chromosomes: </w:t>
      </w: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The current release is version 3.0, which is a combination of a MECAT assembly and a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w:t>
      </w:r>
      <w:r>
        <w:rPr>
          <w:rFonts w:ascii="Arial" w:eastAsia="Arial" w:hAnsi="Arial" w:cs="Arial"/>
          <w:sz w:val="20"/>
          <w:szCs w:val="20"/>
        </w:rPr>
        <w:t>The assembly process and methods used to combine the two assemblies to produce the version 3.0 release are detailed in this section.</w:t>
      </w:r>
      <w:r>
        <w:rPr>
          <w:rFonts w:ascii="Arial" w:eastAsia="Arial" w:hAnsi="Arial" w:cs="Arial"/>
          <w:color w:val="000000"/>
          <w:sz w:val="20"/>
          <w:szCs w:val="20"/>
        </w:rPr>
        <w:t xml:space="preserve"> A subset of 109.36 million 10X genomics reads (31.5x assembled sequence coverage) was assembled using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w:t>
      </w:r>
      <w:r w:rsidR="00351C38">
        <w:rPr>
          <w:rFonts w:ascii="Arial" w:eastAsia="Arial" w:hAnsi="Arial" w:cs="Arial"/>
          <w:color w:val="000000"/>
          <w:sz w:val="20"/>
          <w:szCs w:val="20"/>
        </w:rPr>
        <w:fldChar w:fldCharType="begin"/>
      </w:r>
      <w:r w:rsidR="00351C38">
        <w:rPr>
          <w:rFonts w:ascii="Arial" w:eastAsia="Arial" w:hAnsi="Arial" w:cs="Arial"/>
          <w:color w:val="000000"/>
          <w:sz w:val="20"/>
          <w:szCs w:val="20"/>
        </w:rPr>
        <w:instrText xml:space="preserve"> ADDIN EN.CITE &lt;EndNote&gt;&lt;Cite&gt;&lt;Author&gt;Mohr&lt;/Author&gt;&lt;Year&gt;2017&lt;/Year&gt;&lt;RecNum&gt;421&lt;/RecNum&gt;&lt;DisplayText&gt;[1]&lt;/DisplayText&gt;&lt;record&gt;&lt;rec-number&gt;421&lt;/rec-number&gt;&lt;foreign-keys&gt;&lt;key app="EN" db-id="f2srwft9590ax8eezw95xptb99t9wssfpwva" timestamp="1555952043"&gt;421&lt;/key&gt;&lt;/foreign-keys&gt;&lt;ref-type name="Journal Article"&gt;17&lt;/ref-type&gt;&lt;contributors&gt;&lt;authors&gt;&lt;author&gt;Mohr, D. W.&lt;/author&gt;&lt;author&gt;Naguib, A.&lt;/author&gt;&lt;author&gt;Weisenfeld, N. I.&lt;/author&gt;&lt;author&gt;Kumar, V.&lt;/author&gt;&lt;author&gt;Shah, P.&lt;/author&gt;&lt;author&gt;Church, D. M.&lt;/author&gt;&lt;author&gt;Jaffe, D.&lt;/author&gt;&lt;author&gt;Scott, A. F.&lt;/author&gt;&lt;/authors&gt;&lt;/contributors&gt;&lt;titles&gt;&lt;title&gt;Improved &amp;amp;lt;em&amp;amp;gt;de novo&amp;amp;lt;/em&amp;amp;gt; Genome Assembly: Linked-Read Sequencing Combined with Optical Mapping Produce a High Quality Mammalian Genome at Relatively Low Cost&lt;/title&gt;&lt;secondary-title&gt;bioRxiv&lt;/secondary-title&gt;&lt;/titles&gt;&lt;periodical&gt;&lt;full-title&gt;bioRxiv&lt;/full-title&gt;&lt;/periodical&gt;&lt;pages&gt;128348&lt;/pages&gt;&lt;dates&gt;&lt;year&gt;2017&lt;/year&gt;&lt;/dates&gt;&lt;urls&gt;&lt;related-urls&gt;&lt;url&gt;http://biorxiv.org/content/early/2017/04/19/128348.abstract&lt;/url&gt;&lt;/related-urls&gt;&lt;/urls&gt;&lt;electronic-resource-num&gt;10.1101/128348&lt;/electronic-resource-num&gt;&lt;/record&gt;&lt;/Cite&gt;&lt;/EndNote&gt;</w:instrText>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[1]</w:t>
      </w:r>
      <w:r w:rsidR="00351C38">
        <w:rPr>
          <w:rFonts w:ascii="Arial" w:eastAsia="Arial" w:hAnsi="Arial" w:cs="Arial"/>
          <w:color w:val="000000"/>
          <w:sz w:val="20"/>
          <w:szCs w:val="20"/>
        </w:rPr>
        <w:fldChar w:fldCharType="end"/>
      </w:r>
      <w:r>
        <w:rPr>
          <w:rFonts w:ascii="Arial" w:eastAsia="Arial" w:hAnsi="Arial" w:cs="Arial"/>
          <w:color w:val="000000"/>
          <w:sz w:val="20"/>
          <w:szCs w:val="20"/>
        </w:rPr>
        <w:t xml:space="preserve"> with default parameters. This produced 12,274 scaffolds (20,391 contigs), with a scaffold N50 of 1.8 Mb, 256 scaffolds larger than 100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and a total genome size of 340.6 Mb (Table S3).</w:t>
      </w:r>
    </w:p>
    <w:p w:rsidR="00B4406B" w:rsidRDefault="00B4406B">
      <w:pPr>
        <w:spacing w:line="276" w:lineRule="auto"/>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An improved assembly was generated by assembling the 2,873,271 PACBIO reads (60.7x sequence coverage) using the MECAT assembler </w:t>
      </w:r>
      <w:r w:rsidR="00351C38">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351C38">
        <w:rPr>
          <w:rFonts w:ascii="Arial" w:eastAsia="Arial" w:hAnsi="Arial" w:cs="Arial"/>
          <w:color w:val="000000"/>
          <w:sz w:val="20"/>
          <w:szCs w:val="20"/>
        </w:rPr>
        <w:instrText xml:space="preserve"> ADDIN EN.CITE </w:instrText>
      </w:r>
      <w:r w:rsidR="00351C38">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351C38">
        <w:rPr>
          <w:rFonts w:ascii="Arial" w:eastAsia="Arial" w:hAnsi="Arial" w:cs="Arial"/>
          <w:color w:val="000000"/>
          <w:sz w:val="20"/>
          <w:szCs w:val="20"/>
        </w:rPr>
        <w:instrText xml:space="preserve"> ADDIN EN.CITE.DATA </w:instrText>
      </w:r>
      <w:r w:rsidR="00351C38">
        <w:rPr>
          <w:rFonts w:ascii="Arial" w:eastAsia="Arial" w:hAnsi="Arial" w:cs="Arial"/>
          <w:color w:val="000000"/>
          <w:sz w:val="20"/>
          <w:szCs w:val="20"/>
        </w:rPr>
      </w:r>
      <w:r w:rsidR="00351C38">
        <w:rPr>
          <w:rFonts w:ascii="Arial" w:eastAsia="Arial" w:hAnsi="Arial" w:cs="Arial"/>
          <w:color w:val="000000"/>
          <w:sz w:val="20"/>
          <w:szCs w:val="20"/>
        </w:rPr>
        <w:fldChar w:fldCharType="end"/>
      </w:r>
      <w:r w:rsidR="00351C38">
        <w:rPr>
          <w:rFonts w:ascii="Arial" w:eastAsia="Arial" w:hAnsi="Arial" w:cs="Arial"/>
          <w:color w:val="000000"/>
          <w:sz w:val="20"/>
          <w:szCs w:val="20"/>
        </w:rPr>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[2]</w:t>
      </w:r>
      <w:r w:rsidR="00351C38">
        <w:rPr>
          <w:rFonts w:ascii="Arial" w:eastAsia="Arial" w:hAnsi="Arial" w:cs="Arial"/>
          <w:color w:val="000000"/>
          <w:sz w:val="20"/>
          <w:szCs w:val="20"/>
        </w:rPr>
        <w:fldChar w:fldCharType="end"/>
      </w:r>
      <w:r w:rsidR="00351C38">
        <w:rPr>
          <w:rFonts w:ascii="Arial" w:eastAsia="Arial" w:hAnsi="Arial" w:cs="Arial"/>
          <w:color w:val="000000"/>
          <w:sz w:val="20"/>
          <w:szCs w:val="20"/>
        </w:rPr>
        <w:t>.</w:t>
      </w:r>
      <w:r>
        <w:rPr>
          <w:rFonts w:ascii="Arial" w:eastAsia="Arial" w:hAnsi="Arial" w:cs="Arial"/>
          <w:color w:val="000000"/>
          <w:sz w:val="20"/>
          <w:szCs w:val="20"/>
        </w:rPr>
        <w:t xml:space="preserve"> This produced 519 scaffolds (519 contigs), with a scaffold N50 of 2.0 Mb, 341 scaffolds larger than 100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and a total genome size of 381.3 Mb (Table S4). The resulting assembly was polished using Quiver </w:t>
      </w:r>
      <w:r w:rsidR="00351C38">
        <w:rPr>
          <w:rFonts w:ascii="Arial" w:eastAsia="Arial" w:hAnsi="Arial" w:cs="Arial"/>
          <w:color w:val="000000"/>
          <w:sz w:val="20"/>
          <w:szCs w:val="20"/>
        </w:rPr>
        <w:fldChar w:fldCharType="begin"/>
      </w:r>
      <w:r w:rsidR="00351C38">
        <w:rPr>
          <w:rFonts w:ascii="Arial" w:eastAsia="Arial" w:hAnsi="Arial" w:cs="Arial"/>
          <w:color w:val="000000"/>
          <w:sz w:val="20"/>
          <w:szCs w:val="20"/>
        </w:rPr>
        <w:instrText xml:space="preserve"> ADDIN EN.CITE &lt;EndNote&gt;&lt;Cite&gt;&lt;Author&gt;Chin&lt;/Author&gt;&lt;Year&gt;2013&lt;/Year&gt;&lt;RecNum&gt;240&lt;/RecNum&gt;&lt;DisplayText&gt;[3]&lt;/DisplayText&gt;&lt;record&gt;&lt;rec-number&gt;240&lt;/rec-number&gt;&lt;foreign-keys&gt;&lt;key app="EN" db-id="f2srwft9590ax8eezw95xptb99t9wssfpwva" timestamp="1551398552"&gt;240&lt;/key&gt;&lt;/foreign-keys&gt;&lt;ref-type name="Journal Article"&gt;17&lt;/ref-type&gt;&lt;contributors&gt;&lt;authors&gt;&lt;author&gt;Chin, C. S.&lt;/author&gt;&lt;author&gt;Alexander, D. H.&lt;/author&gt;&lt;author&gt;Marks, P.&lt;/author&gt;&lt;author&gt;Klammer, A. A.&lt;/author&gt;&lt;author&gt;Drake, J.&lt;/author&gt;&lt;author&gt;Heiner, C.&lt;/author&gt;&lt;author&gt;Clum, A.&lt;/author&gt;&lt;author&gt;Copeland, A.&lt;/author&gt;&lt;author&gt;Huddleston, J.&lt;/author&gt;&lt;author&gt;Eichler, E. E.&lt;/author&gt;&lt;author&gt;Turner, S. W.&lt;/author&gt;&lt;author&gt;Korlach, J.&lt;/author&gt;&lt;/authors&gt;&lt;/contributors&gt;&lt;auth-address&gt;Pacific Biosciences, Menlo Park, California, USA.&lt;/auth-address&gt;&lt;titles&gt;&lt;title&gt;Nonhybrid, finished microbial genome assemblies from long-read SMRT sequencing data&lt;/title&gt;&lt;secondary-title&gt;Nat Methods&lt;/secondary-title&gt;&lt;alt-title&gt;Nature methods&lt;/alt-title&gt;&lt;/titles&gt;&lt;periodical&gt;&lt;full-title&gt;Nat Methods&lt;/full-title&gt;&lt;/periodical&gt;&lt;alt-periodical&gt;&lt;full-title&gt;Nat Methods&lt;/full-title&gt;&lt;abbr-1&gt;Nature methods&lt;/abbr-1&gt;&lt;/alt-periodical&gt;&lt;pages&gt;563-9&lt;/pages&gt;&lt;volume&gt;10&lt;/volume&gt;&lt;number&gt;6&lt;/number&gt;&lt;keywords&gt;&lt;keyword&gt;Chromosomes, Artificial, Bacterial&lt;/keyword&gt;&lt;keyword&gt;Escherichia coli/genetics&lt;/keyword&gt;&lt;keyword&gt;Gene Library&lt;/keyword&gt;&lt;keyword&gt;*Genome, Bacterial&lt;/keyword&gt;&lt;keyword&gt;Humans&lt;/keyword&gt;&lt;keyword&gt;Repetitive Sequences, Nucleic Acid&lt;/keyword&gt;&lt;keyword&gt;Sequence Analysis, DNA/*methods&lt;/keyword&gt;&lt;/keywords&gt;&lt;dates&gt;&lt;year&gt;2013&lt;/year&gt;&lt;pub-dates&gt;&lt;date&gt;Jun&lt;/date&gt;&lt;/pub-dates&gt;&lt;/dates&gt;&lt;isbn&gt;1548-7105 (Electronic)&amp;#xD;1548-7091 (Linking)&lt;/isbn&gt;&lt;accession-num&gt;23644548&lt;/accession-num&gt;&lt;urls&gt;&lt;related-urls&gt;&lt;url&gt;http://www.ncbi.nlm.nih.gov/pubmed/23644548&lt;/url&gt;&lt;/related-urls&gt;&lt;/urls&gt;&lt;electronic-resource-num&gt;10.1038/nmeth.2474&lt;/electronic-resource-num&gt;&lt;/record&gt;&lt;/Cite&gt;&lt;/EndNote&gt;</w:instrText>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[3]</w:t>
      </w:r>
      <w:r w:rsidR="00351C38">
        <w:rPr>
          <w:rFonts w:ascii="Arial" w:eastAsia="Arial" w:hAnsi="Arial" w:cs="Arial"/>
          <w:color w:val="000000"/>
          <w:sz w:val="20"/>
          <w:szCs w:val="20"/>
        </w:rPr>
        <w:fldChar w:fldCharType="end"/>
      </w:r>
      <w:r>
        <w:rPr>
          <w:rFonts w:ascii="Arial" w:eastAsia="Arial" w:hAnsi="Arial" w:cs="Arial"/>
          <w:color w:val="000000"/>
          <w:sz w:val="20"/>
          <w:szCs w:val="20"/>
        </w:rPr>
        <w:t xml:space="preserve"> and scaffolded with SSPACE </w:t>
      </w:r>
      <w:r w:rsidR="00351C38">
        <w:rPr>
          <w:rFonts w:ascii="Arial" w:eastAsia="Arial" w:hAnsi="Arial" w:cs="Arial"/>
          <w:color w:val="000000"/>
          <w:sz w:val="20"/>
          <w:szCs w:val="20"/>
        </w:rPr>
        <w:fldChar w:fldCharType="begin"/>
      </w:r>
      <w:r w:rsidR="00351C38">
        <w:rPr>
          <w:rFonts w:ascii="Arial" w:eastAsia="Arial" w:hAnsi="Arial" w:cs="Arial"/>
          <w:color w:val="000000"/>
          <w:sz w:val="20"/>
          <w:szCs w:val="20"/>
        </w:rPr>
        <w:instrText xml:space="preserve"> ADDIN EN.CITE &lt;EndNote&gt;&lt;Cite&gt;&lt;Author&gt;Boetzer&lt;/Author&gt;&lt;Year&gt;2011&lt;/Year&gt;&lt;RecNum&gt;206&lt;/RecNum&gt;&lt;DisplayText&gt;[4]&lt;/DisplayText&gt;&lt;record&gt;&lt;rec-number&gt;206&lt;/rec-number&gt;&lt;foreign-keys&gt;&lt;key app="EN" db-id="f2srwft9590ax8eezw95xptb99t9wssfpwva" timestamp="0"&gt;206&lt;/key&gt;&lt;/foreign-keys&gt;&lt;ref-type name="Journal Article"&gt;17&lt;/ref-type&gt;&lt;contributors&gt;&lt;authors&gt;&lt;author&gt;Boetzer, M.&lt;/author&gt;&lt;author&gt;Henkel, C. V.&lt;/author&gt;&lt;author&gt;Jansen, H. J.&lt;/author&gt;&lt;author&gt;Butler, D.&lt;/author&gt;&lt;author&gt;Pirovano, W.&lt;/author&gt;&lt;/authors&gt;&lt;/contributors&gt;&lt;auth-address&gt;BaseClear B.V., Einsteinweg 5, 2333 CC Leiden, Leiden,The Netherlands.&lt;/auth-address&gt;&lt;titles&gt;&lt;title&gt;Scaffolding pre-assembled contigs using SSPACE&lt;/title&gt;&lt;secondary-title&gt;Bioinformatics&lt;/secondary-title&gt;&lt;alt-title&gt;Bioinformatics&lt;/alt-title&gt;&lt;/titles&gt;&lt;periodical&gt;&lt;full-title&gt;Bioinformatics&lt;/full-title&gt;&lt;/periodical&gt;&lt;alt-periodical&gt;&lt;full-title&gt;Bioinformatics&lt;/full-title&gt;&lt;/alt-periodical&gt;&lt;pages&gt;578-9&lt;/pages&gt;&lt;volume&gt;27&lt;/volume&gt;&lt;number&gt;4&lt;/number&gt;&lt;keywords&gt;&lt;keyword&gt;*Algorithms&lt;/keyword&gt;&lt;keyword&gt;*Contig Mapping&lt;/keyword&gt;&lt;keyword&gt;Gene Library&lt;/keyword&gt;&lt;keyword&gt;Genome&lt;/keyword&gt;&lt;keyword&gt;Genomics/*methods&lt;/keyword&gt;&lt;keyword&gt;Sequence Analysis, DNA/*methods&lt;/keyword&gt;&lt;keyword&gt;*Software&lt;/keyword&gt;&lt;/keywords&gt;&lt;dates&gt;&lt;year&gt;2011&lt;/year&gt;&lt;pub-dates&gt;&lt;date&gt;Feb 15&lt;/date&gt;&lt;/pub-dates&gt;&lt;/dates&gt;&lt;isbn&gt;1367-4811 (Electronic)&amp;#xD;1367-4803 (Linking)&lt;/isbn&gt;&lt;accession-num&gt;21149342&lt;/accession-num&gt;&lt;urls&gt;&lt;related-urls&gt;&lt;url&gt;http://www.ncbi.nlm.nih.gov/pubmed/21149342&lt;/url&gt;&lt;/related-urls&gt;&lt;/urls&gt;&lt;electronic-resource-num&gt;10.1093/bioinformatics/btq683&lt;/electronic-resource-num&gt;&lt;/record&gt;&lt;/Cite&gt;&lt;/EndNote&gt;</w:instrText>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[4]</w:t>
      </w:r>
      <w:r w:rsidR="00351C38">
        <w:rPr>
          <w:rFonts w:ascii="Arial" w:eastAsia="Arial" w:hAnsi="Arial" w:cs="Arial"/>
          <w:color w:val="000000"/>
          <w:sz w:val="20"/>
          <w:szCs w:val="20"/>
        </w:rPr>
        <w:fldChar w:fldCharType="end"/>
      </w:r>
      <w:r>
        <w:rPr>
          <w:rFonts w:ascii="Arial" w:eastAsia="Arial" w:hAnsi="Arial" w:cs="Arial"/>
          <w:color w:val="000000"/>
          <w:sz w:val="20"/>
          <w:szCs w:val="20"/>
        </w:rPr>
        <w:t xml:space="preserve"> using the existing 4KB and 7KB Illumina mate pairs. A set of 33,187 unique, non-repetitive, non-overlapping 1.0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sequences was identified in the </w:t>
      </w:r>
      <w:r w:rsidRPr="005924A0">
        <w:rPr>
          <w:rFonts w:ascii="Arial" w:eastAsia="Arial" w:hAnsi="Arial" w:cs="Arial"/>
          <w:i/>
          <w:color w:val="000000"/>
          <w:sz w:val="20"/>
          <w:szCs w:val="20"/>
        </w:rPr>
        <w:t>O. sativa</w:t>
      </w:r>
      <w:r>
        <w:rPr>
          <w:rFonts w:ascii="Arial" w:eastAsia="Arial" w:hAnsi="Arial" w:cs="Arial"/>
          <w:color w:val="000000"/>
          <w:sz w:val="20"/>
          <w:szCs w:val="20"/>
        </w:rPr>
        <w:t xml:space="preserve"> (var. </w:t>
      </w:r>
      <w:r w:rsidRPr="005924A0">
        <w:rPr>
          <w:rFonts w:ascii="Arial" w:eastAsia="Arial" w:hAnsi="Arial" w:cs="Arial"/>
          <w:i/>
          <w:color w:val="000000"/>
          <w:sz w:val="20"/>
          <w:szCs w:val="20"/>
        </w:rPr>
        <w:t>japonica</w:t>
      </w:r>
      <w:r>
        <w:rPr>
          <w:rFonts w:ascii="Arial" w:eastAsia="Arial" w:hAnsi="Arial" w:cs="Arial"/>
          <w:color w:val="000000"/>
          <w:sz w:val="20"/>
          <w:szCs w:val="20"/>
        </w:rPr>
        <w:t xml:space="preserve">) assembly, aligned to the MECAT assembly and used in the identification of </w:t>
      </w:r>
      <w:proofErr w:type="spellStart"/>
      <w:r>
        <w:rPr>
          <w:rFonts w:ascii="Arial" w:eastAsia="Arial" w:hAnsi="Arial" w:cs="Arial"/>
          <w:color w:val="000000"/>
          <w:sz w:val="20"/>
          <w:szCs w:val="20"/>
        </w:rPr>
        <w:t>misjoins</w:t>
      </w:r>
      <w:proofErr w:type="spellEnd"/>
      <w:r>
        <w:rPr>
          <w:rFonts w:ascii="Arial" w:eastAsia="Arial" w:hAnsi="Arial" w:cs="Arial"/>
          <w:color w:val="000000"/>
          <w:sz w:val="20"/>
          <w:szCs w:val="20"/>
        </w:rPr>
        <w:t xml:space="preserve">. The HMG BAC ends were then used to pinpoint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breakpoints. A total of 68 </w:t>
      </w:r>
      <w:proofErr w:type="spellStart"/>
      <w:r>
        <w:rPr>
          <w:rFonts w:ascii="Arial" w:eastAsia="Arial" w:hAnsi="Arial" w:cs="Arial"/>
          <w:color w:val="000000"/>
          <w:sz w:val="20"/>
          <w:szCs w:val="20"/>
        </w:rPr>
        <w:t>misjoins</w:t>
      </w:r>
      <w:proofErr w:type="spellEnd"/>
      <w:r>
        <w:rPr>
          <w:rFonts w:ascii="Arial" w:eastAsia="Arial" w:hAnsi="Arial" w:cs="Arial"/>
          <w:color w:val="000000"/>
          <w:sz w:val="20"/>
          <w:szCs w:val="20"/>
        </w:rPr>
        <w:t xml:space="preserve"> were identified and broken. Scaffolds were then oriented, ordered, and joined together into 12 chromosomes. A total of 394 joins were made during this process, and the chromosome joins were padded with 10,000 Ns.</w:t>
      </w:r>
    </w:p>
    <w:p w:rsidR="00B4406B" w:rsidRDefault="00B4406B">
      <w:pPr>
        <w:spacing w:line="276" w:lineRule="auto"/>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A comparison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to the MECAT assembly revealed that there were sequences contained in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that were not contained in the MECAT assembly, presumably due to the differences in the sequencing platform.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was then masked using 24mers taken from the polished MECAT assembly and the unmasked regions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over</w:t>
      </w:r>
      <w:r w:rsidR="005924A0">
        <w:rPr>
          <w:rFonts w:ascii="Arial" w:eastAsia="Arial" w:hAnsi="Arial" w:cs="Arial"/>
          <w:color w:val="000000"/>
          <w:sz w:val="20"/>
          <w:szCs w:val="20"/>
        </w:rPr>
        <w:t xml:space="preserve"> </w:t>
      </w:r>
      <w:r>
        <w:rPr>
          <w:rFonts w:ascii="Arial" w:eastAsia="Arial" w:hAnsi="Arial" w:cs="Arial"/>
          <w:color w:val="000000"/>
          <w:sz w:val="20"/>
          <w:szCs w:val="20"/>
        </w:rPr>
        <w:t xml:space="preserve">1.0KB were extracted and included in the final release. Six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contigs (14.5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were included as part of the V3.0 release. The combined assembly was then screened for contamination. Homozygous SNPs and InDels were corrected in the release sequence using ~60x of Illumina reads (2x250, 800bp insert) by aligning the reads using bwa mem (</w:t>
      </w:r>
      <w:r w:rsidR="00002975">
        <w:rPr>
          <w:rFonts w:ascii="Arial" w:eastAsia="Arial" w:hAnsi="Arial" w:cs="Arial"/>
          <w:color w:val="000000"/>
          <w:sz w:val="20"/>
          <w:szCs w:val="20"/>
        </w:rPr>
        <w:t>unpublished</w:t>
      </w:r>
      <w:r>
        <w:rPr>
          <w:rFonts w:ascii="Arial" w:eastAsia="Arial" w:hAnsi="Arial" w:cs="Arial"/>
          <w:color w:val="000000"/>
          <w:sz w:val="20"/>
          <w:szCs w:val="20"/>
        </w:rPr>
        <w:t xml:space="preserve">) and identifying homozygous SNPs and InDels with the GATK’s </w:t>
      </w:r>
      <w:proofErr w:type="spellStart"/>
      <w:r>
        <w:rPr>
          <w:rFonts w:ascii="Arial" w:eastAsia="Arial" w:hAnsi="Arial" w:cs="Arial"/>
          <w:color w:val="000000"/>
          <w:sz w:val="20"/>
          <w:szCs w:val="20"/>
        </w:rPr>
        <w:t>UnifiedGenotyper</w:t>
      </w:r>
      <w:proofErr w:type="spellEnd"/>
      <w:r>
        <w:rPr>
          <w:rFonts w:ascii="Arial" w:eastAsia="Arial" w:hAnsi="Arial" w:cs="Arial"/>
          <w:color w:val="000000"/>
          <w:sz w:val="20"/>
          <w:szCs w:val="20"/>
        </w:rPr>
        <w:t xml:space="preserve"> tool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&lt;EndNote&gt;&lt;Cite&gt;&lt;Author&gt;McKenna&lt;/Author&gt;&lt;Year&gt;2010&lt;/Year&gt;&lt;RecNum&gt;425&lt;/RecNum&gt;&lt;DisplayText&gt;[5]&lt;/DisplayText&gt;&lt;record&gt;&lt;rec-number&gt;425&lt;/rec-number&gt;&lt;foreign-keys&gt;&lt;key app="EN" db-id="f2srwft9590ax8eezw95xptb99t9wssfpwva" timestamp="1558376840"&gt;425&lt;/key&gt;&lt;/foreign-keys&gt;&lt;ref-type name="Journal Article"&gt;17&lt;/ref-type&gt;&lt;contributors&gt;&lt;authors&gt;&lt;author&gt;McKenna, A.&lt;/author&gt;&lt;author&gt;Hanna, M.&lt;/author&gt;&lt;author&gt;Banks, E.&lt;/author&gt;&lt;author&gt;Sivachenko, A.&lt;/author&gt;&lt;author&gt;Cibulskis, K.&lt;/author&gt;&lt;author&gt;Kernytsky, A.&lt;/author&gt;&lt;author&gt;Garimella, K.&lt;/author&gt;&lt;author&gt;Altshuler, D.&lt;/author&gt;&lt;author&gt;Gabriel, S.&lt;/author&gt;&lt;author&gt;Daly, M.&lt;/author&gt;&lt;author&gt;DePristo, M. A.&lt;/author&gt;&lt;/authors&gt;&lt;/contributors&gt;&lt;auth-address&gt;Program in Medical and Population Genetics, The Broad Institute of Harvard and MIT, Cambridge, Massachusetts 02142, USA.&lt;/auth-address&gt;&lt;titles&gt;&lt;title&gt;The Genome Analysis Toolkit: a MapReduce framework for analyzing next-generation DNA sequencing data&lt;/title&gt;&lt;secondary-title&gt;Genome Res&lt;/secondary-title&gt;&lt;alt-title&gt;Genome research&lt;/alt-title&gt;&lt;/titles&gt;&lt;periodical&gt;&lt;full-title&gt;Genome Res&lt;/full-title&gt;&lt;/periodical&gt;&lt;alt-periodical&gt;&lt;full-title&gt;Genome Res&lt;/full-title&gt;&lt;abbr-1&gt;Genome research&lt;/abbr-1&gt;&lt;/alt-periodical&gt;&lt;pages&gt;1297-303&lt;/pages&gt;&lt;volume&gt;20&lt;/volume&gt;&lt;number&gt;9&lt;/number&gt;&lt;edition&gt;2010/07/21&lt;/edition&gt;&lt;keywords&gt;&lt;keyword&gt;Base Sequence&lt;/keyword&gt;&lt;keyword&gt;*Genome&lt;/keyword&gt;&lt;keyword&gt;Genomics/*methods&lt;/keyword&gt;&lt;keyword&gt;Sequence Analysis, DNA/*methods&lt;/keyword&gt;&lt;keyword&gt;*Software&lt;/keyword&gt;&lt;/keywords&gt;&lt;dates&gt;&lt;year&gt;2010&lt;/year&gt;&lt;pub-dates&gt;&lt;date&gt;Sep&lt;/date&gt;&lt;/pub-dates&gt;&lt;/dates&gt;&lt;isbn&gt;1088-9051&lt;/isbn&gt;&lt;accession-num&gt;20644199&lt;/accession-num&gt;&lt;urls&gt;&lt;/urls&gt;&lt;custom2&gt;PMC2928508&lt;/custom2&gt;&lt;electronic-resource-num&gt;10.1101/gr.107524.110&lt;/electronic-resource-num&gt;&lt;remote-database-provider&gt;NLM&lt;/remote-database-provider&gt;&lt;language&gt;eng&lt;/language&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[5]</w:t>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t>.</w:t>
      </w:r>
      <w:r>
        <w:rPr>
          <w:rFonts w:ascii="Arial" w:eastAsia="Arial" w:hAnsi="Arial" w:cs="Arial"/>
          <w:color w:val="000000"/>
          <w:sz w:val="20"/>
          <w:szCs w:val="20"/>
        </w:rPr>
        <w:t xml:space="preserve"> 99 homozygous SNPs and 15,339 homozygous InDels were corrected in the release. The final version 3.0 improved release contains 377.6 Mb of sequence, consisting of 33 scaffolds (476 contigs) with a contig N50 of 1.4 Mb and a total of 99.67% of assembled bases in chromosomes. Completeness of the euchromatic portion of the version 2.0 assembly was assessed using 34,651 annotated genes from the version 7.0 </w:t>
      </w:r>
      <w:r>
        <w:rPr>
          <w:rFonts w:ascii="Arial" w:eastAsia="Arial" w:hAnsi="Arial" w:cs="Arial"/>
          <w:i/>
          <w:color w:val="000000"/>
          <w:sz w:val="20"/>
          <w:szCs w:val="20"/>
        </w:rPr>
        <w:t>O. sativa</w:t>
      </w:r>
      <w:r>
        <w:rPr>
          <w:rFonts w:ascii="Arial" w:eastAsia="Arial" w:hAnsi="Arial" w:cs="Arial"/>
          <w:color w:val="000000"/>
          <w:sz w:val="20"/>
          <w:szCs w:val="20"/>
        </w:rPr>
        <w:t xml:space="preserve"> (var. </w:t>
      </w:r>
      <w:r w:rsidRPr="005924A0">
        <w:rPr>
          <w:rFonts w:ascii="Arial" w:eastAsia="Arial" w:hAnsi="Arial" w:cs="Arial"/>
          <w:i/>
          <w:color w:val="000000"/>
          <w:sz w:val="20"/>
          <w:szCs w:val="20"/>
        </w:rPr>
        <w:t>japonica</w:t>
      </w:r>
      <w:r>
        <w:rPr>
          <w:rFonts w:ascii="Arial" w:eastAsia="Arial" w:hAnsi="Arial" w:cs="Arial"/>
          <w:color w:val="000000"/>
          <w:sz w:val="20"/>
          <w:szCs w:val="20"/>
        </w:rPr>
        <w:t xml:space="preserve">) release. The genes were aligned to the assembly using BLAT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&lt;EndNote&gt;&lt;Cite&gt;&lt;Author&gt;Kent&lt;/Author&gt;&lt;Year&gt;2002&lt;/Year&gt;&lt;RecNum&gt;207&lt;/RecNum&gt;&lt;DisplayText&gt;[6]&lt;/DisplayText&gt;&lt;record&gt;&lt;rec-number&gt;207&lt;/rec-number&gt;&lt;foreign-keys&gt;&lt;key app="EN" db-id="f2srwft9590ax8eezw95xptb99t9wssfpwva" timestamp="0"&gt;207&lt;/key&gt;&lt;/foreign-keys&gt;&lt;ref-type name="Journal Article"&gt;17&lt;/ref-type&gt;&lt;contributors&gt;&lt;authors&gt;&lt;author&gt;Kent, W. J.&lt;/author&gt;&lt;/authors&gt;&lt;/contributors&gt;&lt;auth-address&gt;Department of Biology and Center for Molecular Biology of RNA, University of California-Santa Cruz, Santa Cruz, CA 95064, USA. kent@biology.ucsc.edu&lt;/auth-address&gt;&lt;titles&gt;&lt;title&gt;BLAT--the BLAST-like alignment tool&lt;/title&gt;&lt;secondary-title&gt;Genome Res&lt;/secondary-title&gt;&lt;alt-title&gt;Genome research&lt;/alt-title&gt;&lt;/titles&gt;&lt;periodical&gt;&lt;full-title&gt;Genome Res&lt;/full-title&gt;&lt;/periodical&gt;&lt;alt-periodical&gt;&lt;full-title&gt;Genome Res&lt;/full-title&gt;&lt;abbr-1&gt;Genome research&lt;/abbr-1&gt;&lt;/alt-periodical&gt;&lt;pages&gt;656-64&lt;/pages&gt;&lt;volume&gt;12&lt;/volume&gt;&lt;number&gt;4&lt;/number&gt;&lt;keywords&gt;&lt;keyword&gt;Animals&lt;/keyword&gt;&lt;keyword&gt;Computational Biology/*methods/statistics &amp;amp; numerical data&lt;/keyword&gt;&lt;keyword&gt;DNA/genetics&lt;/keyword&gt;&lt;keyword&gt;Humans&lt;/keyword&gt;&lt;keyword&gt;Mice&lt;/keyword&gt;&lt;keyword&gt;Protein Biosynthesis&lt;/keyword&gt;&lt;keyword&gt;Proteins/chemistry&lt;/keyword&gt;&lt;keyword&gt;RNA, Messenger/genetics&lt;/keyword&gt;&lt;keyword&gt;Sequence Alignment/*methods/statistics &amp;amp; numerical data&lt;/keyword&gt;&lt;keyword&gt;*Software&lt;/keyword&gt;&lt;/keywords&gt;&lt;dates&gt;&lt;year&gt;2002&lt;/year&gt;&lt;pub-dates&gt;&lt;date&gt;Apr&lt;/date&gt;&lt;/pub-dates&gt;&lt;/dates&gt;&lt;isbn&gt;1088-9051 (Print)&amp;#xD;1088-9051 (Linking)&lt;/isbn&gt;&lt;accession-num&gt;11932250&lt;/accession-num&gt;&lt;urls&gt;&lt;related-urls&gt;&lt;url&gt;http://www.ncbi.nlm.nih.gov/pubmed/11932250&lt;/url&gt;&lt;/related-urls&gt;&lt;/urls&gt;&lt;custom2&gt;187518&lt;/custom2&gt;&lt;electronic-resource-num&gt;10.1101/gr.229202&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[6]</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and alignments &gt;=90% base pair identity and &gt;=85% gene coverage were retained. The screened alignments indicate that 34,285 (98.94%) of the </w:t>
      </w:r>
      <w:r w:rsidRPr="005924A0">
        <w:rPr>
          <w:rFonts w:ascii="Arial" w:eastAsia="Arial" w:hAnsi="Arial" w:cs="Arial"/>
          <w:i/>
          <w:color w:val="000000"/>
          <w:sz w:val="20"/>
          <w:szCs w:val="20"/>
        </w:rPr>
        <w:t>japonica</w:t>
      </w:r>
      <w:r>
        <w:rPr>
          <w:rFonts w:ascii="Arial" w:eastAsia="Arial" w:hAnsi="Arial" w:cs="Arial"/>
          <w:color w:val="000000"/>
          <w:sz w:val="20"/>
          <w:szCs w:val="20"/>
        </w:rPr>
        <w:t xml:space="preserve"> genes aligned to the </w:t>
      </w:r>
      <w:proofErr w:type="spellStart"/>
      <w:r>
        <w:rPr>
          <w:rFonts w:ascii="Arial" w:eastAsia="Arial" w:hAnsi="Arial" w:cs="Arial"/>
          <w:color w:val="000000"/>
          <w:sz w:val="20"/>
          <w:szCs w:val="20"/>
        </w:rPr>
        <w:t>Kitaake</w:t>
      </w:r>
      <w:proofErr w:type="spellEnd"/>
      <w:r>
        <w:rPr>
          <w:rFonts w:ascii="Arial" w:eastAsia="Arial" w:hAnsi="Arial" w:cs="Arial"/>
          <w:color w:val="000000"/>
          <w:sz w:val="20"/>
          <w:szCs w:val="20"/>
        </w:rPr>
        <w:t xml:space="preserve"> assembly, with 259 genes indicating a partial alignment (0.75%), and 107 sequences (0.31%) indicating no alignment.</w:t>
      </w:r>
    </w:p>
    <w:p w:rsidR="00B4406B" w:rsidRDefault="00B4406B">
      <w:pPr>
        <w:jc w:val="both"/>
        <w:rPr>
          <w:b/>
          <w:highlight w:val="yellow"/>
        </w:rPr>
      </w:pP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S1.1. Assembly Construction.</w:t>
      </w:r>
      <w:r>
        <w:rPr>
          <w:rFonts w:ascii="Arial" w:eastAsia="Arial" w:hAnsi="Arial" w:cs="Arial"/>
          <w:b/>
          <w:i/>
          <w:color w:val="000000"/>
          <w:sz w:val="20"/>
          <w:szCs w:val="20"/>
        </w:rPr>
        <w:t xml:space="preserve"> </w:t>
      </w:r>
      <w:r>
        <w:rPr>
          <w:rFonts w:ascii="Arial" w:eastAsia="Arial" w:hAnsi="Arial" w:cs="Arial"/>
          <w:color w:val="000000"/>
          <w:sz w:val="20"/>
          <w:szCs w:val="20"/>
        </w:rPr>
        <w:t xml:space="preserve">A subset of 109.36 10X genomics reads (31.5x assembled sequence coverage) was assembled using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&lt;EndNote&gt;&lt;Cite&gt;&lt;Author&gt;Mohr&lt;/Author&gt;&lt;Year&gt;2017&lt;/Year&gt;&lt;RecNum&gt;421&lt;/RecNum&gt;&lt;DisplayText&gt;[1]&lt;/DisplayText&gt;&lt;record&gt;&lt;rec-number&gt;421&lt;/rec-number&gt;&lt;foreign-keys&gt;&lt;key app="EN" db-id="f2srwft9590ax8eezw95xptb99t9wssfpwva" timestamp="1555952043"&gt;421&lt;/key&gt;&lt;/foreign-keys&gt;&lt;ref-type name="Journal Article"&gt;17&lt;/ref-type&gt;&lt;contributors&gt;&lt;authors&gt;&lt;author&gt;Mohr, D. W.&lt;/author&gt;&lt;author&gt;Naguib, A.&lt;/author&gt;&lt;author&gt;Weisenfeld, N. I.&lt;/author&gt;&lt;author&gt;Kumar, V.&lt;/author&gt;&lt;author&gt;Shah, P.&lt;/author&gt;&lt;author&gt;Church, D. M.&lt;/author&gt;&lt;author&gt;Jaffe, D.&lt;/author&gt;&lt;author&gt;Scott, A. F.&lt;/author&gt;&lt;/authors&gt;&lt;/contributors&gt;&lt;titles&gt;&lt;title&gt;Improved &amp;amp;lt;em&amp;amp;gt;de novo&amp;amp;lt;/em&amp;amp;gt; Genome Assembly: Linked-Read Sequencing Combined with Optical Mapping Produce a High Quality Mammalian Genome at Relatively Low Cost&lt;/title&gt;&lt;secondary-title&gt;bioRxiv&lt;/secondary-title&gt;&lt;/titles&gt;&lt;periodical&gt;&lt;full-title&gt;bioRxiv&lt;/full-title&gt;&lt;/periodical&gt;&lt;pages&gt;128348&lt;/pages&gt;&lt;dates&gt;&lt;year&gt;2017&lt;/year&gt;&lt;/dates&gt;&lt;urls&gt;&lt;related-urls&gt;&lt;url&gt;http://biorxiv.org/content/early/2017/04/19/128348.abstract&lt;/url&gt;&lt;/related-urls&gt;&lt;/urls&gt;&lt;electronic-resource-num&gt;10.1101/128348&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[1]</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with default parameters.  The additional 2,873,271 PACBIO reads were assembled using MECAT</w:t>
      </w:r>
      <w:r w:rsidR="00002975">
        <w:rPr>
          <w:rFonts w:ascii="Arial" w:eastAsia="Arial" w:hAnsi="Arial" w:cs="Arial"/>
          <w:color w:val="000000"/>
          <w:sz w:val="20"/>
          <w:szCs w:val="20"/>
        </w:rPr>
        <w:t xml:space="preserve"> </w:t>
      </w:r>
      <w:r w:rsidR="00002975">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002975">
        <w:rPr>
          <w:rFonts w:ascii="Arial" w:eastAsia="Arial" w:hAnsi="Arial" w:cs="Arial"/>
          <w:color w:val="000000"/>
          <w:sz w:val="20"/>
          <w:szCs w:val="20"/>
        </w:rPr>
        <w:instrText xml:space="preserve"> ADDIN EN.CITE </w:instrText>
      </w:r>
      <w:r w:rsidR="00002975">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002975">
        <w:rPr>
          <w:rFonts w:ascii="Arial" w:eastAsia="Arial" w:hAnsi="Arial" w:cs="Arial"/>
          <w:color w:val="000000"/>
          <w:sz w:val="20"/>
          <w:szCs w:val="20"/>
        </w:rPr>
        <w:instrText xml:space="preserve"> ADDIN EN.CITE.DATA </w:instrText>
      </w:r>
      <w:r w:rsidR="00002975">
        <w:rPr>
          <w:rFonts w:ascii="Arial" w:eastAsia="Arial" w:hAnsi="Arial" w:cs="Arial"/>
          <w:color w:val="000000"/>
          <w:sz w:val="20"/>
          <w:szCs w:val="20"/>
        </w:rPr>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[2]</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and a combination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and MECAT assemblies was used to form the version 3.0 release.</w:t>
      </w:r>
    </w:p>
    <w:p w:rsidR="00B4406B" w:rsidRDefault="00B4406B">
      <w:pPr>
        <w:spacing w:line="276" w:lineRule="auto"/>
        <w:jc w:val="both"/>
        <w:rPr>
          <w:rFonts w:ascii="Arial" w:eastAsia="Arial" w:hAnsi="Arial" w:cs="Arial"/>
          <w:color w:val="000000"/>
          <w:sz w:val="20"/>
          <w:szCs w:val="20"/>
        </w:rPr>
      </w:pPr>
    </w:p>
    <w:tbl>
      <w:tblPr>
        <w:tblStyle w:val="a"/>
        <w:tblW w:w="72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61"/>
        <w:gridCol w:w="1501"/>
        <w:gridCol w:w="1980"/>
        <w:gridCol w:w="1412"/>
        <w:gridCol w:w="1190"/>
      </w:tblGrid>
      <w:tr w:rsidR="00B4406B">
        <w:trPr>
          <w:trHeight w:val="140"/>
          <w:jc w:val="center"/>
        </w:trPr>
        <w:tc>
          <w:tcPr>
            <w:tcW w:w="1161"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Library</w:t>
            </w:r>
          </w:p>
        </w:tc>
        <w:tc>
          <w:tcPr>
            <w:tcW w:w="1501" w:type="dxa"/>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Sequencing Platform</w:t>
            </w:r>
          </w:p>
        </w:tc>
        <w:tc>
          <w:tcPr>
            <w:tcW w:w="1980"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Average Read/Insert Size</w:t>
            </w:r>
          </w:p>
        </w:tc>
        <w:tc>
          <w:tcPr>
            <w:tcW w:w="1412"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Read Number</w:t>
            </w:r>
          </w:p>
        </w:tc>
        <w:tc>
          <w:tcPr>
            <w:tcW w:w="1190"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Assembled Sequence Coverage (x)</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HMG</w:t>
            </w: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Sanger</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135,000 ± 30,000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76,543</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9.2 clone</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AHZPU</w:t>
            </w: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 ± 50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47,644,256</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34.1</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SNNP</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735 ± 100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47,039,120</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33.9</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TGWO</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717 ± 100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49,242,748</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35.4</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ACWWN</w:t>
            </w: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4,432 ± 593</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34,513,336</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11.0</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ANUPU</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4,179 ± 551</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33,822,898</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11.3</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AHZWG</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7,034 ± 578</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33,319,031</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10.9</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IHQR</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10X Genomics</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 ± 50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845,500,242</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335</w:t>
            </w:r>
          </w:p>
        </w:tc>
      </w:tr>
      <w:tr w:rsidR="00B4406B">
        <w:trPr>
          <w:trHeight w:val="160"/>
          <w:jc w:val="center"/>
        </w:trPr>
        <w:tc>
          <w:tcPr>
            <w:tcW w:w="1161" w:type="dxa"/>
            <w:shd w:val="clear" w:color="auto" w:fill="auto"/>
          </w:tcPr>
          <w:p w:rsidR="00B4406B" w:rsidRDefault="00B4406B">
            <w:pPr>
              <w:keepNext/>
              <w:keepLines/>
              <w:spacing w:before="40" w:after="40"/>
              <w:jc w:val="center"/>
              <w:rPr>
                <w:rFonts w:ascii="Arial" w:eastAsia="Arial" w:hAnsi="Arial" w:cs="Arial"/>
                <w:color w:val="000000"/>
                <w:sz w:val="20"/>
                <w:szCs w:val="20"/>
              </w:rPr>
            </w:pP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PACBIO</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8,072</w:t>
            </w:r>
            <w:r>
              <w:rPr>
                <w:rFonts w:ascii="Arial" w:eastAsia="Arial" w:hAnsi="Arial" w:cs="Arial"/>
                <w:color w:val="000000"/>
                <w:sz w:val="20"/>
                <w:szCs w:val="20"/>
                <w:vertAlign w:val="superscript"/>
              </w:rPr>
              <w:t>*</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2,873,271</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60.72</w:t>
            </w:r>
          </w:p>
        </w:tc>
      </w:tr>
      <w:tr w:rsidR="00B4406B">
        <w:trPr>
          <w:trHeight w:val="160"/>
          <w:jc w:val="center"/>
        </w:trPr>
        <w:tc>
          <w:tcPr>
            <w:tcW w:w="1161" w:type="dxa"/>
            <w:shd w:val="clear" w:color="auto" w:fill="auto"/>
            <w:vAlign w:val="center"/>
          </w:tcPr>
          <w:p w:rsidR="00B4406B" w:rsidRDefault="00920D24">
            <w:pPr>
              <w:spacing w:before="40" w:after="40"/>
              <w:jc w:val="both"/>
              <w:rPr>
                <w:rFonts w:ascii="Arial" w:eastAsia="Arial" w:hAnsi="Arial" w:cs="Arial"/>
                <w:color w:val="000000"/>
                <w:sz w:val="20"/>
                <w:szCs w:val="20"/>
              </w:rPr>
            </w:pPr>
            <w:r>
              <w:rPr>
                <w:rFonts w:ascii="Arial" w:eastAsia="Arial" w:hAnsi="Arial" w:cs="Arial"/>
                <w:b/>
                <w:color w:val="000000"/>
                <w:sz w:val="20"/>
                <w:szCs w:val="20"/>
              </w:rPr>
              <w:t>Total</w:t>
            </w:r>
          </w:p>
        </w:tc>
        <w:tc>
          <w:tcPr>
            <w:tcW w:w="1501" w:type="dxa"/>
          </w:tcPr>
          <w:p w:rsidR="00B4406B" w:rsidRDefault="00B4406B">
            <w:pPr>
              <w:spacing w:before="40" w:after="40"/>
              <w:jc w:val="both"/>
              <w:rPr>
                <w:rFonts w:ascii="Arial" w:eastAsia="Arial" w:hAnsi="Arial" w:cs="Arial"/>
                <w:color w:val="000000"/>
                <w:sz w:val="20"/>
                <w:szCs w:val="20"/>
              </w:rPr>
            </w:pPr>
          </w:p>
        </w:tc>
        <w:tc>
          <w:tcPr>
            <w:tcW w:w="1980" w:type="dxa"/>
            <w:shd w:val="clear" w:color="auto" w:fill="auto"/>
            <w:vAlign w:val="center"/>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N/A</w:t>
            </w:r>
          </w:p>
        </w:tc>
        <w:tc>
          <w:tcPr>
            <w:tcW w:w="1412" w:type="dxa"/>
            <w:shd w:val="clear" w:color="auto" w:fill="auto"/>
            <w:vAlign w:val="center"/>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248,531,203</w:t>
            </w:r>
          </w:p>
        </w:tc>
        <w:tc>
          <w:tcPr>
            <w:tcW w:w="1190" w:type="dxa"/>
            <w:shd w:val="clear" w:color="auto" w:fill="auto"/>
            <w:vAlign w:val="center"/>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206.52</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 xml:space="preserve">Table S1. </w:t>
      </w:r>
      <w:r>
        <w:rPr>
          <w:rFonts w:ascii="Arial" w:eastAsia="Arial" w:hAnsi="Arial" w:cs="Arial"/>
          <w:color w:val="000000"/>
          <w:sz w:val="20"/>
          <w:szCs w:val="20"/>
        </w:rPr>
        <w:t xml:space="preserve">Genomic libraries included in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genome assembly and their respective assembled sequence coverage levels in the final release.</w:t>
      </w: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vertAlign w:val="superscript"/>
        </w:rPr>
        <w:t>*</w:t>
      </w:r>
      <w:r>
        <w:rPr>
          <w:rFonts w:ascii="Arial" w:eastAsia="Arial" w:hAnsi="Arial" w:cs="Arial"/>
          <w:color w:val="000000"/>
          <w:sz w:val="20"/>
          <w:szCs w:val="20"/>
        </w:rPr>
        <w:t>Average read length of PACBIO reads.</w:t>
      </w:r>
    </w:p>
    <w:p w:rsidR="00B4406B" w:rsidRDefault="00920D24">
      <w:pPr>
        <w:rPr>
          <w:rFonts w:ascii="Arial" w:eastAsia="Arial" w:hAnsi="Arial" w:cs="Arial"/>
          <w:color w:val="000000"/>
          <w:sz w:val="20"/>
          <w:szCs w:val="20"/>
        </w:rPr>
      </w:pPr>
      <w:r>
        <w:br w:type="page"/>
      </w:r>
    </w:p>
    <w:p w:rsidR="00B4406B" w:rsidRDefault="00B4406B">
      <w:pPr>
        <w:jc w:val="both"/>
        <w:rPr>
          <w:rFonts w:ascii="Arial" w:eastAsia="Arial" w:hAnsi="Arial" w:cs="Arial"/>
          <w:color w:val="000000"/>
          <w:sz w:val="20"/>
          <w:szCs w:val="20"/>
        </w:rPr>
      </w:pPr>
    </w:p>
    <w:tbl>
      <w:tblPr>
        <w:tblStyle w:val="a0"/>
        <w:tblW w:w="854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571"/>
        <w:gridCol w:w="1440"/>
        <w:gridCol w:w="2138"/>
        <w:gridCol w:w="1980"/>
        <w:gridCol w:w="1412"/>
      </w:tblGrid>
      <w:tr w:rsidR="00B4406B">
        <w:trPr>
          <w:trHeight w:val="140"/>
          <w:jc w:val="center"/>
        </w:trPr>
        <w:tc>
          <w:tcPr>
            <w:tcW w:w="1571"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Cutoff</w:t>
            </w:r>
          </w:p>
        </w:tc>
        <w:tc>
          <w:tcPr>
            <w:tcW w:w="1440" w:type="dxa"/>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Number of Reads</w:t>
            </w:r>
          </w:p>
        </w:tc>
        <w:tc>
          <w:tcPr>
            <w:tcW w:w="2138" w:type="dxa"/>
          </w:tcPr>
          <w:p w:rsidR="00B4406B" w:rsidRDefault="00920D24">
            <w:pPr>
              <w:spacing w:before="40" w:after="40"/>
              <w:jc w:val="center"/>
              <w:rPr>
                <w:rFonts w:ascii="Arial" w:eastAsia="Arial" w:hAnsi="Arial" w:cs="Arial"/>
                <w:b/>
                <w:color w:val="000000"/>
                <w:sz w:val="20"/>
                <w:szCs w:val="20"/>
              </w:rPr>
            </w:pPr>
            <w:proofErr w:type="spellStart"/>
            <w:r>
              <w:rPr>
                <w:rFonts w:ascii="Arial" w:eastAsia="Arial" w:hAnsi="Arial" w:cs="Arial"/>
                <w:b/>
                <w:color w:val="000000"/>
                <w:sz w:val="20"/>
                <w:szCs w:val="20"/>
              </w:rPr>
              <w:t>Basepairs</w:t>
            </w:r>
            <w:proofErr w:type="spellEnd"/>
          </w:p>
        </w:tc>
        <w:tc>
          <w:tcPr>
            <w:tcW w:w="1980"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Average Read Length</w:t>
            </w:r>
          </w:p>
        </w:tc>
        <w:tc>
          <w:tcPr>
            <w:tcW w:w="1412"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Coverage</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0</w:t>
            </w:r>
          </w:p>
        </w:tc>
        <w:tc>
          <w:tcPr>
            <w:tcW w:w="1440" w:type="dxa"/>
            <w:vAlign w:val="bottom"/>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2,873,271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24,286,612,782</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8,072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60.72x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1,000</w:t>
            </w:r>
          </w:p>
        </w:tc>
        <w:tc>
          <w:tcPr>
            <w:tcW w:w="1440" w:type="dxa"/>
            <w:vAlign w:val="bottom"/>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2,769,767</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24,227,814,611</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8,289</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60.57x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2,630,301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24,016,773,360</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8,584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60.04x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2,467,877</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23,609,351,251</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8,932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59.02x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4,000</w:t>
            </w:r>
          </w:p>
        </w:tc>
        <w:tc>
          <w:tcPr>
            <w:tcW w:w="1440" w:type="dxa"/>
            <w:vAlign w:val="bottom"/>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2,287,691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22,977,809,096</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9,325</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57.44x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2,098,922</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22,128,129,658</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9,744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55.32x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1,907,045</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21,072,464,943</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10,184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52.68x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1,694,550</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19,688,149,643</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10,697</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49.22x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1,454,022</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17,883,760,799</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11,324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44.71x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1,218,425</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15,882,127,906</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12,015</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39.71x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993,394</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13,745,612,155</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12,782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34.36x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787,733</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11,588,418,240</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13,631</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28.97x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611,669</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9,566,478,012</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14,551</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23.92x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468,194</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7,775,706,908</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15,514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19.44x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14,000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356,123</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6,265,216,945</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16,500</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15.66x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270,175</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5,020,965,093</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17,497</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12.55x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16,000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204,620</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4,006,458,829</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18,502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10.02x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17,000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154,971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3,188,408,846</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19,509</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7.97x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18,000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117,598</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2,535,242,511</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20,500</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6.34x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89,093</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2,008,566,675</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21,503</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5.02x</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 xml:space="preserve">Table S2. </w:t>
      </w:r>
      <w:r>
        <w:rPr>
          <w:rFonts w:ascii="Arial" w:eastAsia="Arial" w:hAnsi="Arial" w:cs="Arial"/>
          <w:color w:val="000000"/>
          <w:sz w:val="20"/>
          <w:szCs w:val="20"/>
        </w:rPr>
        <w:t xml:space="preserve">PACBIO library statistics for single pass yield of the 42 chips included in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genome assembly and their respective assembled sequence coverage levels.</w:t>
      </w:r>
    </w:p>
    <w:p w:rsidR="00B4406B" w:rsidRDefault="00B4406B">
      <w:pPr>
        <w:spacing w:line="276" w:lineRule="auto"/>
        <w:jc w:val="both"/>
        <w:rPr>
          <w:rFonts w:ascii="Arial" w:eastAsia="Arial" w:hAnsi="Arial" w:cs="Arial"/>
          <w:color w:val="000000"/>
          <w:sz w:val="20"/>
          <w:szCs w:val="20"/>
        </w:rPr>
      </w:pPr>
    </w:p>
    <w:tbl>
      <w:tblPr>
        <w:tblStyle w:val="a1"/>
        <w:tblW w:w="8624" w:type="dxa"/>
        <w:tblLayout w:type="fixed"/>
        <w:tblLook w:val="0000" w:firstRow="0" w:lastRow="0" w:firstColumn="0" w:lastColumn="0" w:noHBand="0" w:noVBand="0"/>
      </w:tblPr>
      <w:tblGrid>
        <w:gridCol w:w="1173"/>
        <w:gridCol w:w="1256"/>
        <w:gridCol w:w="1345"/>
        <w:gridCol w:w="1794"/>
        <w:gridCol w:w="1690"/>
        <w:gridCol w:w="1366"/>
      </w:tblGrid>
      <w:tr w:rsidR="00B4406B">
        <w:trPr>
          <w:trHeight w:val="144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lastRenderedPageBreak/>
              <w:t>Minimum</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Length</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Scaffolds</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Contigs</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 Size</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proofErr w:type="spellStart"/>
            <w:r>
              <w:rPr>
                <w:rFonts w:ascii="Arial" w:eastAsia="Arial" w:hAnsi="Arial" w:cs="Arial"/>
                <w:b/>
                <w:color w:val="000000"/>
                <w:sz w:val="20"/>
                <w:szCs w:val="20"/>
              </w:rPr>
              <w:t>Basepairs</w:t>
            </w:r>
            <w:proofErr w:type="spellEnd"/>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 xml:space="preserve">% Non-gap </w:t>
            </w:r>
            <w:proofErr w:type="spellStart"/>
            <w:r>
              <w:rPr>
                <w:rFonts w:ascii="Arial" w:eastAsia="Arial" w:hAnsi="Arial" w:cs="Arial"/>
                <w:b/>
                <w:color w:val="000000"/>
                <w:sz w:val="20"/>
                <w:szCs w:val="20"/>
              </w:rPr>
              <w:t>Basepairs</w:t>
            </w:r>
            <w:proofErr w:type="spellEnd"/>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1,367</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62,333,111</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62,197,311</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99.78%</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2,671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119,371,803</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119,107,303</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99.78%</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93</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5,501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230,425,623</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229,884,823</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99.77%</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149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6,540</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270,151,260</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269,512,160</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192</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6,990</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285,238,462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284,558,662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256</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7,319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296,096,685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295,390,385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308</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7,466</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299,917,570</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299,201,770</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388</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7,608</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302,629,359</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301,907,359</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809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8,099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308,497,622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307,768,622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2,397</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9,816</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319,366,213</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318,624,313</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99.77%</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5,430</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13,095</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329,926,754</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329,160,254</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99.77%</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12,274</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20,391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340,592,618</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339,780,918</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0 </w:t>
            </w:r>
            <w:proofErr w:type="spellStart"/>
            <w:r>
              <w:rPr>
                <w:rFonts w:ascii="Arial" w:eastAsia="Arial" w:hAnsi="Arial" w:cs="Arial"/>
                <w:color w:val="000000"/>
                <w:sz w:val="20"/>
                <w:szCs w:val="20"/>
              </w:rPr>
              <w:t>bp</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12,274</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20,391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340,592,618</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339,780,918</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Table S3</w:t>
      </w:r>
      <w:r>
        <w:rPr>
          <w:rFonts w:ascii="Arial" w:eastAsia="Arial" w:hAnsi="Arial" w:cs="Arial"/>
          <w:color w:val="000000"/>
          <w:sz w:val="20"/>
          <w:szCs w:val="20"/>
        </w:rPr>
        <w:t xml:space="preserve">. Summary statistics of the output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whole genome shotgun assembly prior to integration with the PACBIO assembly. The table shows total contigs and total assembled </w:t>
      </w:r>
      <w:proofErr w:type="spellStart"/>
      <w:r>
        <w:rPr>
          <w:rFonts w:ascii="Arial" w:eastAsia="Arial" w:hAnsi="Arial" w:cs="Arial"/>
          <w:color w:val="000000"/>
          <w:sz w:val="20"/>
          <w:szCs w:val="20"/>
        </w:rPr>
        <w:t>basepairs</w:t>
      </w:r>
      <w:proofErr w:type="spellEnd"/>
      <w:r>
        <w:rPr>
          <w:rFonts w:ascii="Arial" w:eastAsia="Arial" w:hAnsi="Arial" w:cs="Arial"/>
          <w:color w:val="000000"/>
          <w:sz w:val="20"/>
          <w:szCs w:val="20"/>
        </w:rPr>
        <w:t xml:space="preserve"> for each set of scaffolds greater than the size listed in the </w:t>
      </w:r>
      <w:proofErr w:type="gramStart"/>
      <w:r>
        <w:rPr>
          <w:rFonts w:ascii="Arial" w:eastAsia="Arial" w:hAnsi="Arial" w:cs="Arial"/>
          <w:color w:val="000000"/>
          <w:sz w:val="20"/>
          <w:szCs w:val="20"/>
        </w:rPr>
        <w:t>left hand</w:t>
      </w:r>
      <w:proofErr w:type="gramEnd"/>
      <w:r>
        <w:rPr>
          <w:rFonts w:ascii="Arial" w:eastAsia="Arial" w:hAnsi="Arial" w:cs="Arial"/>
          <w:color w:val="000000"/>
          <w:sz w:val="20"/>
          <w:szCs w:val="20"/>
        </w:rPr>
        <w:t xml:space="preserve"> column.</w:t>
      </w:r>
    </w:p>
    <w:p w:rsidR="00B4406B" w:rsidRDefault="00B4406B">
      <w:pPr>
        <w:spacing w:line="276" w:lineRule="auto"/>
        <w:jc w:val="both"/>
        <w:rPr>
          <w:rFonts w:ascii="Arial" w:eastAsia="Arial" w:hAnsi="Arial" w:cs="Arial"/>
          <w:b/>
          <w:color w:val="000000"/>
          <w:sz w:val="20"/>
          <w:szCs w:val="20"/>
          <w:highlight w:val="yellow"/>
        </w:rPr>
      </w:pPr>
    </w:p>
    <w:tbl>
      <w:tblPr>
        <w:tblStyle w:val="a2"/>
        <w:tblW w:w="8624" w:type="dxa"/>
        <w:tblLayout w:type="fixed"/>
        <w:tblLook w:val="0000" w:firstRow="0" w:lastRow="0" w:firstColumn="0" w:lastColumn="0" w:noHBand="0" w:noVBand="0"/>
      </w:tblPr>
      <w:tblGrid>
        <w:gridCol w:w="1173"/>
        <w:gridCol w:w="1256"/>
        <w:gridCol w:w="1345"/>
        <w:gridCol w:w="1794"/>
        <w:gridCol w:w="1690"/>
        <w:gridCol w:w="1366"/>
      </w:tblGrid>
      <w:tr w:rsidR="00B4406B">
        <w:trPr>
          <w:trHeight w:val="90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lastRenderedPageBreak/>
              <w:t>Minimum</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Length</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Scaffolds</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Contigs</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 Size</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proofErr w:type="spellStart"/>
            <w:r>
              <w:rPr>
                <w:rFonts w:ascii="Arial" w:eastAsia="Arial" w:hAnsi="Arial" w:cs="Arial"/>
                <w:b/>
                <w:color w:val="000000"/>
                <w:sz w:val="20"/>
                <w:szCs w:val="20"/>
              </w:rPr>
              <w:t>Basepairs</w:t>
            </w:r>
            <w:proofErr w:type="spellEnd"/>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 xml:space="preserve">% Non-gap </w:t>
            </w:r>
            <w:proofErr w:type="spellStart"/>
            <w:r>
              <w:rPr>
                <w:rFonts w:ascii="Arial" w:eastAsia="Arial" w:hAnsi="Arial" w:cs="Arial"/>
                <w:b/>
                <w:color w:val="000000"/>
                <w:sz w:val="20"/>
                <w:szCs w:val="20"/>
              </w:rPr>
              <w:t>Basepairs</w:t>
            </w:r>
            <w:proofErr w:type="spellEnd"/>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57,771,145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57,771,145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40</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40</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167,464,984</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167,464,984</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112</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112</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276,812,732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276,812,732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192</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192</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335,638,702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335,638,702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264</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264</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361,964,929</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361,964,929</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341</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374,712,160</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374,712,160</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385</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385</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377,749,994</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377,749,994</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453</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453</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380,091,105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380,091,105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517</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517</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381,281,419</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381,281,419</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0 </w:t>
            </w:r>
            <w:proofErr w:type="spellStart"/>
            <w:r>
              <w:rPr>
                <w:rFonts w:ascii="Arial" w:eastAsia="Arial" w:hAnsi="Arial" w:cs="Arial"/>
                <w:color w:val="000000"/>
                <w:sz w:val="20"/>
                <w:szCs w:val="20"/>
              </w:rPr>
              <w:t>bp</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Table S4</w:t>
      </w:r>
      <w:r>
        <w:rPr>
          <w:rFonts w:ascii="Arial" w:eastAsia="Arial" w:hAnsi="Arial" w:cs="Arial"/>
          <w:color w:val="000000"/>
          <w:sz w:val="20"/>
          <w:szCs w:val="20"/>
        </w:rPr>
        <w:t xml:space="preserve">. Summary statistics of the raw output of the MECAT whole genome shotgun assembly. The table shows total contigs and total assembled </w:t>
      </w:r>
      <w:proofErr w:type="spellStart"/>
      <w:r>
        <w:rPr>
          <w:rFonts w:ascii="Arial" w:eastAsia="Arial" w:hAnsi="Arial" w:cs="Arial"/>
          <w:color w:val="000000"/>
          <w:sz w:val="20"/>
          <w:szCs w:val="20"/>
        </w:rPr>
        <w:t>basepairs</w:t>
      </w:r>
      <w:proofErr w:type="spellEnd"/>
      <w:r>
        <w:rPr>
          <w:rFonts w:ascii="Arial" w:eastAsia="Arial" w:hAnsi="Arial" w:cs="Arial"/>
          <w:color w:val="000000"/>
          <w:sz w:val="20"/>
          <w:szCs w:val="20"/>
        </w:rPr>
        <w:t xml:space="preserve"> for each set of scaffolds greater than the size listed in the </w:t>
      </w:r>
      <w:proofErr w:type="gramStart"/>
      <w:r>
        <w:rPr>
          <w:rFonts w:ascii="Arial" w:eastAsia="Arial" w:hAnsi="Arial" w:cs="Arial"/>
          <w:color w:val="000000"/>
          <w:sz w:val="20"/>
          <w:szCs w:val="20"/>
        </w:rPr>
        <w:t>left hand</w:t>
      </w:r>
      <w:proofErr w:type="gramEnd"/>
      <w:r>
        <w:rPr>
          <w:rFonts w:ascii="Arial" w:eastAsia="Arial" w:hAnsi="Arial" w:cs="Arial"/>
          <w:color w:val="000000"/>
          <w:sz w:val="20"/>
          <w:szCs w:val="20"/>
        </w:rPr>
        <w:t xml:space="preserve"> column.</w:t>
      </w: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b/>
          <w:color w:val="000000"/>
          <w:sz w:val="20"/>
          <w:szCs w:val="20"/>
        </w:rPr>
      </w:pPr>
      <w:r>
        <w:rPr>
          <w:rFonts w:ascii="Arial" w:eastAsia="Arial" w:hAnsi="Arial" w:cs="Arial"/>
          <w:b/>
          <w:color w:val="000000"/>
          <w:sz w:val="20"/>
          <w:szCs w:val="20"/>
        </w:rPr>
        <w:t>S1.2 Pseudomolecule Chromosome Construction</w:t>
      </w: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The MECAT assembly was polished using Quiver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&lt;EndNote&gt;&lt;Cite&gt;&lt;Author&gt;Chin&lt;/Author&gt;&lt;Year&gt;2013&lt;/Year&gt;&lt;RecNum&gt;205&lt;/RecNum&gt;&lt;DisplayText&gt;[3]&lt;/DisplayText&gt;&lt;record&gt;&lt;rec-number&gt;205&lt;/rec-number&gt;&lt;foreign-keys&gt;&lt;key app="EN" db-id="f2srwft9590ax8eezw95xptb99t9wssfpwva" timestamp="0"&gt;205&lt;/key&gt;&lt;/foreign-keys&gt;&lt;ref-type name="Journal Article"&gt;17&lt;/ref-type&gt;&lt;contributors&gt;&lt;authors&gt;&lt;author&gt;Chin, C. S.&lt;/author&gt;&lt;author&gt;Alexander, D. H.&lt;/author&gt;&lt;author&gt;Marks, P.&lt;/author&gt;&lt;author&gt;Klammer, A. A.&lt;/author&gt;&lt;author&gt;Drake, J.&lt;/author&gt;&lt;author&gt;Heiner, C.&lt;/author&gt;&lt;author&gt;Clum, A.&lt;/author&gt;&lt;author&gt;Copeland, A.&lt;/author&gt;&lt;author&gt;Huddleston, J.&lt;/author&gt;&lt;author&gt;Eichler, E. E.&lt;/author&gt;&lt;author&gt;Turner, S. W.&lt;/author&gt;&lt;author&gt;Korlach, J.&lt;/author&gt;&lt;/authors&gt;&lt;/contributors&gt;&lt;auth-address&gt;Pacific Biosciences, Menlo Park, California, USA.&lt;/auth-address&gt;&lt;titles&gt;&lt;title&gt;Nonhybrid, finished microbial genome assemblies from long-read SMRT sequencing data&lt;/title&gt;&lt;secondary-title&gt;Nat Methods&lt;/secondary-title&gt;&lt;alt-title&gt;Nature methods&lt;/alt-title&gt;&lt;/titles&gt;&lt;periodical&gt;&lt;full-title&gt;Nat Methods&lt;/full-title&gt;&lt;/periodical&gt;&lt;alt-periodical&gt;&lt;full-title&gt;Nat Methods&lt;/full-title&gt;&lt;abbr-1&gt;Nature methods&lt;/abbr-1&gt;&lt;/alt-periodical&gt;&lt;pages&gt;563-9&lt;/pages&gt;&lt;volume&gt;10&lt;/volume&gt;&lt;number&gt;6&lt;/number&gt;&lt;keywords&gt;&lt;keyword&gt;Chromosomes, Artificial, Bacterial&lt;/keyword&gt;&lt;keyword&gt;Escherichia coli/genetics&lt;/keyword&gt;&lt;keyword&gt;Gene Library&lt;/keyword&gt;&lt;keyword&gt;*Genome, Bacterial&lt;/keyword&gt;&lt;keyword&gt;Humans&lt;/keyword&gt;&lt;keyword&gt;Repetitive Sequences, Nucleic Acid&lt;/keyword&gt;&lt;keyword&gt;Sequence Analysis, DNA/*methods&lt;/keyword&gt;&lt;/keywords&gt;&lt;dates&gt;&lt;year&gt;2013&lt;/year&gt;&lt;pub-dates&gt;&lt;date&gt;Jun&lt;/date&gt;&lt;/pub-dates&gt;&lt;/dates&gt;&lt;isbn&gt;1548-7105 (Electronic)&amp;#xD;1548-7091 (Linking)&lt;/isbn&gt;&lt;accession-num&gt;23644548&lt;/accession-num&gt;&lt;urls&gt;&lt;related-urls&gt;&lt;url&gt;http://www.ncbi.nlm.nih.gov/pubmed/23644548&lt;/url&gt;&lt;/related-urls&gt;&lt;/urls&gt;&lt;electronic-resource-num&gt;10.1038/nmeth.2474&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[3]</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and scaffolded with SSPACE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&lt;EndNote&gt;&lt;Cite&gt;&lt;Author&gt;Boetzer&lt;/Author&gt;&lt;Year&gt;2011&lt;/Year&gt;&lt;RecNum&gt;206&lt;/RecNum&gt;&lt;DisplayText&gt;[4]&lt;/DisplayText&gt;&lt;record&gt;&lt;rec-number&gt;206&lt;/rec-number&gt;&lt;foreign-keys&gt;&lt;key app="EN" db-id="f2srwft9590ax8eezw95xptb99t9wssfpwva" timestamp="0"&gt;206&lt;/key&gt;&lt;/foreign-keys&gt;&lt;ref-type name="Journal Article"&gt;17&lt;/ref-type&gt;&lt;contributors&gt;&lt;authors&gt;&lt;author&gt;Boetzer, M.&lt;/author&gt;&lt;author&gt;Henkel, C. V.&lt;/author&gt;&lt;author&gt;Jansen, H. J.&lt;/author&gt;&lt;author&gt;Butler, D.&lt;/author&gt;&lt;author&gt;Pirovano, W.&lt;/author&gt;&lt;/authors&gt;&lt;/contributors&gt;&lt;auth-address&gt;BaseClear B.V., Einsteinweg 5, 2333 CC Leiden, Leiden,The Netherlands.&lt;/auth-address&gt;&lt;titles&gt;&lt;title&gt;Scaffolding pre-assembled contigs using SSPACE&lt;/title&gt;&lt;secondary-title&gt;Bioinformatics&lt;/secondary-title&gt;&lt;alt-title&gt;Bioinformatics&lt;/alt-title&gt;&lt;/titles&gt;&lt;periodical&gt;&lt;full-title&gt;Bioinformatics&lt;/full-title&gt;&lt;/periodical&gt;&lt;alt-periodical&gt;&lt;full-title&gt;Bioinformatics&lt;/full-title&gt;&lt;/alt-periodical&gt;&lt;pages&gt;578-9&lt;/pages&gt;&lt;volume&gt;27&lt;/volume&gt;&lt;number&gt;4&lt;/number&gt;&lt;keywords&gt;&lt;keyword&gt;*Algorithms&lt;/keyword&gt;&lt;keyword&gt;*Contig Mapping&lt;/keyword&gt;&lt;keyword&gt;Gene Library&lt;/keyword&gt;&lt;keyword&gt;Genome&lt;/keyword&gt;&lt;keyword&gt;Genomics/*methods&lt;/keyword&gt;&lt;keyword&gt;Sequence Analysis, DNA/*methods&lt;/keyword&gt;&lt;keyword&gt;*Software&lt;/keyword&gt;&lt;/keywords&gt;&lt;dates&gt;&lt;year&gt;2011&lt;/year&gt;&lt;pub-dates&gt;&lt;date&gt;Feb 15&lt;/date&gt;&lt;/pub-dates&gt;&lt;/dates&gt;&lt;isbn&gt;1367-4811 (Electronic)&amp;#xD;1367-4803 (Linking)&lt;/isbn&gt;&lt;accession-num&gt;21149342&lt;/accession-num&gt;&lt;urls&gt;&lt;related-urls&gt;&lt;url&gt;http://www.ncbi.nlm.nih.gov/pubmed/21149342&lt;/url&gt;&lt;/related-urls&gt;&lt;/urls&gt;&lt;electronic-resource-num&gt;10.1093/bioinformatics/btq683&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[4]</w:t>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t xml:space="preserve"> </w:t>
      </w:r>
      <w:r>
        <w:rPr>
          <w:rFonts w:ascii="Arial" w:eastAsia="Arial" w:hAnsi="Arial" w:cs="Arial"/>
          <w:color w:val="000000"/>
          <w:sz w:val="20"/>
          <w:szCs w:val="20"/>
        </w:rPr>
        <w:t xml:space="preserve">using the existing 4KB and 7KB Illumina mate pairs. A set of 33,187 non-overlapping, non-repetitive, 1.0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markers was used to integrate the scaffolded MECAT assembly scaffolds into 12 chromosomes. A total of 68 </w:t>
      </w:r>
      <w:proofErr w:type="spellStart"/>
      <w:r>
        <w:rPr>
          <w:rFonts w:ascii="Arial" w:eastAsia="Arial" w:hAnsi="Arial" w:cs="Arial"/>
          <w:color w:val="000000"/>
          <w:sz w:val="20"/>
          <w:szCs w:val="20"/>
        </w:rPr>
        <w:t>misjoins</w:t>
      </w:r>
      <w:proofErr w:type="spellEnd"/>
      <w:r>
        <w:rPr>
          <w:rFonts w:ascii="Arial" w:eastAsia="Arial" w:hAnsi="Arial" w:cs="Arial"/>
          <w:color w:val="000000"/>
          <w:sz w:val="20"/>
          <w:szCs w:val="20"/>
        </w:rPr>
        <w:t xml:space="preserve"> were identified and broken. Scaffolds were then oriented, ordered, and joined together into 12 chromosomes. The available BAC ends (9.2x clone coverage) were used to leverage in 12 additional scaffolds that did not contain a synteny marker. A total of 394 joins were made during this process, and the chromosome joins were padded with 10,000 Ns. A total of 6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contigs (14.5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were included in the final assembly. The final version 3.0 improved release contains 33 scaffolds (476 contigs) that cover 377.6 Mb of sequence, with a contig N50 of 1.4 Mb. A total of 99.67% of assembled bases are anchored in the 12 chromosomes. Significant telomeric sequence was identified using the (TTTAGGG)</w:t>
      </w:r>
      <w:r>
        <w:rPr>
          <w:rFonts w:ascii="Arial" w:eastAsia="Arial" w:hAnsi="Arial" w:cs="Arial"/>
          <w:color w:val="000000"/>
          <w:sz w:val="20"/>
          <w:szCs w:val="20"/>
          <w:vertAlign w:val="subscript"/>
        </w:rPr>
        <w:t>n</w:t>
      </w:r>
      <w:r>
        <w:rPr>
          <w:rFonts w:ascii="Arial" w:eastAsia="Arial" w:hAnsi="Arial" w:cs="Arial"/>
          <w:color w:val="000000"/>
          <w:sz w:val="20"/>
          <w:szCs w:val="20"/>
        </w:rPr>
        <w:t xml:space="preserve"> repeat, and care was taken </w:t>
      </w:r>
      <w:r>
        <w:rPr>
          <w:rFonts w:ascii="Arial" w:eastAsia="Arial" w:hAnsi="Arial" w:cs="Arial"/>
          <w:color w:val="000000"/>
          <w:sz w:val="20"/>
          <w:szCs w:val="20"/>
        </w:rPr>
        <w:lastRenderedPageBreak/>
        <w:t xml:space="preserve">to make sure that it was properly oriented in the production assembly. Plots of the marker placements for the 12 chromosomes are shown in Figures S1-S12. </w:t>
      </w:r>
    </w:p>
    <w:tbl>
      <w:tblPr>
        <w:tblStyle w:val="a3"/>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drawing>
                <wp:inline distT="0" distB="0" distL="0" distR="0">
                  <wp:extent cx="5486400" cy="4370705"/>
                  <wp:effectExtent l="0" t="0" r="0" b="0"/>
                  <wp:docPr id="1" name="image11.png" descr="kitaake_rice_Chr1_plot_paper.png"/>
                  <wp:cNvGraphicFramePr/>
                  <a:graphic xmlns:a="http://schemas.openxmlformats.org/drawingml/2006/main">
                    <a:graphicData uri="http://schemas.openxmlformats.org/drawingml/2006/picture">
                      <pic:pic xmlns:pic="http://schemas.openxmlformats.org/drawingml/2006/picture">
                        <pic:nvPicPr>
                          <pic:cNvPr id="0" name="image11.png" descr="kitaake_rice_Chr1_plot_paper.png"/>
                          <pic:cNvPicPr preferRelativeResize="0"/>
                        </pic:nvPicPr>
                        <pic:blipFill>
                          <a:blip r:embed="rId4"/>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chromosome 1.</w:t>
            </w:r>
          </w:p>
        </w:tc>
      </w:tr>
    </w:tbl>
    <w:p w:rsidR="00B4406B" w:rsidRDefault="00B4406B">
      <w:pPr>
        <w:spacing w:line="360" w:lineRule="auto"/>
        <w:jc w:val="both"/>
        <w:rPr>
          <w:rFonts w:ascii="Arial" w:eastAsia="Arial" w:hAnsi="Arial" w:cs="Arial"/>
          <w:b/>
          <w:color w:val="000000"/>
          <w:sz w:val="20"/>
          <w:szCs w:val="20"/>
        </w:rPr>
      </w:pPr>
    </w:p>
    <w:tbl>
      <w:tblPr>
        <w:tblStyle w:val="a4"/>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3" name="image6.png" descr="kitaake_rice_Chr2_plot_paper.png"/>
                  <wp:cNvGraphicFramePr/>
                  <a:graphic xmlns:a="http://schemas.openxmlformats.org/drawingml/2006/main">
                    <a:graphicData uri="http://schemas.openxmlformats.org/drawingml/2006/picture">
                      <pic:pic xmlns:pic="http://schemas.openxmlformats.org/drawingml/2006/picture">
                        <pic:nvPicPr>
                          <pic:cNvPr id="0" name="image6.png" descr="kitaake_rice_Chr2_plot_paper.png"/>
                          <pic:cNvPicPr preferRelativeResize="0"/>
                        </pic:nvPicPr>
                        <pic:blipFill>
                          <a:blip r:embed="rId5"/>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S2:</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chromosome 2.</w:t>
            </w:r>
          </w:p>
        </w:tc>
      </w:tr>
    </w:tbl>
    <w:p w:rsidR="00B4406B" w:rsidRDefault="00B4406B">
      <w:pPr>
        <w:spacing w:line="360" w:lineRule="auto"/>
        <w:jc w:val="both"/>
        <w:rPr>
          <w:rFonts w:ascii="Arial" w:eastAsia="Arial" w:hAnsi="Arial" w:cs="Arial"/>
          <w:b/>
          <w:color w:val="000000"/>
          <w:sz w:val="20"/>
          <w:szCs w:val="20"/>
        </w:rPr>
      </w:pPr>
    </w:p>
    <w:tbl>
      <w:tblPr>
        <w:tblStyle w:val="a5"/>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2" name="image9.png" descr="kitaake_rice_Chr3_plot_paper.png"/>
                  <wp:cNvGraphicFramePr/>
                  <a:graphic xmlns:a="http://schemas.openxmlformats.org/drawingml/2006/main">
                    <a:graphicData uri="http://schemas.openxmlformats.org/drawingml/2006/picture">
                      <pic:pic xmlns:pic="http://schemas.openxmlformats.org/drawingml/2006/picture">
                        <pic:nvPicPr>
                          <pic:cNvPr id="0" name="image9.png" descr="kitaake_rice_Chr3_plot_paper.png"/>
                          <pic:cNvPicPr preferRelativeResize="0"/>
                        </pic:nvPicPr>
                        <pic:blipFill>
                          <a:blip r:embed="rId6"/>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S3:</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4A19F0">
              <w:rPr>
                <w:rFonts w:ascii="Arial" w:eastAsia="Arial" w:hAnsi="Arial" w:cs="Arial"/>
                <w:color w:val="000000"/>
                <w:sz w:val="20"/>
                <w:szCs w:val="20"/>
              </w:rPr>
              <w:t>X</w:t>
            </w:r>
            <w:proofErr w:type="spellEnd"/>
            <w:r>
              <w:rPr>
                <w:rFonts w:ascii="Arial" w:eastAsia="Arial" w:hAnsi="Arial" w:cs="Arial"/>
                <w:color w:val="000000"/>
                <w:sz w:val="20"/>
                <w:szCs w:val="20"/>
              </w:rPr>
              <w:t>) chromosome 3.</w:t>
            </w:r>
          </w:p>
        </w:tc>
      </w:tr>
    </w:tbl>
    <w:p w:rsidR="00B4406B" w:rsidRDefault="00B4406B">
      <w:pPr>
        <w:spacing w:line="360" w:lineRule="auto"/>
        <w:jc w:val="both"/>
        <w:rPr>
          <w:rFonts w:ascii="Arial" w:eastAsia="Arial" w:hAnsi="Arial" w:cs="Arial"/>
          <w:b/>
          <w:color w:val="000000"/>
          <w:sz w:val="20"/>
          <w:szCs w:val="20"/>
        </w:rPr>
      </w:pPr>
    </w:p>
    <w:tbl>
      <w:tblPr>
        <w:tblStyle w:val="a6"/>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5" name="image7.png" descr="kitaake_rice_Chr4_plot_paper.png"/>
                  <wp:cNvGraphicFramePr/>
                  <a:graphic xmlns:a="http://schemas.openxmlformats.org/drawingml/2006/main">
                    <a:graphicData uri="http://schemas.openxmlformats.org/drawingml/2006/picture">
                      <pic:pic xmlns:pic="http://schemas.openxmlformats.org/drawingml/2006/picture">
                        <pic:nvPicPr>
                          <pic:cNvPr id="0" name="image7.png" descr="kitaake_rice_Chr4_plot_paper.png"/>
                          <pic:cNvPicPr preferRelativeResize="0"/>
                        </pic:nvPicPr>
                        <pic:blipFill>
                          <a:blip r:embed="rId7"/>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S4:</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4.</w:t>
            </w:r>
          </w:p>
        </w:tc>
      </w:tr>
    </w:tbl>
    <w:p w:rsidR="00B4406B" w:rsidRDefault="00B4406B">
      <w:pPr>
        <w:spacing w:line="360" w:lineRule="auto"/>
        <w:jc w:val="both"/>
        <w:rPr>
          <w:rFonts w:ascii="Arial" w:eastAsia="Arial" w:hAnsi="Arial" w:cs="Arial"/>
          <w:b/>
          <w:color w:val="000000"/>
          <w:sz w:val="20"/>
          <w:szCs w:val="20"/>
        </w:rPr>
      </w:pPr>
    </w:p>
    <w:p w:rsidR="00B4406B" w:rsidRDefault="00B4406B">
      <w:pPr>
        <w:spacing w:line="360" w:lineRule="auto"/>
        <w:jc w:val="both"/>
        <w:rPr>
          <w:rFonts w:ascii="Arial" w:eastAsia="Arial" w:hAnsi="Arial" w:cs="Arial"/>
          <w:b/>
          <w:color w:val="000000"/>
          <w:sz w:val="20"/>
          <w:szCs w:val="20"/>
        </w:rPr>
      </w:pPr>
    </w:p>
    <w:tbl>
      <w:tblPr>
        <w:tblStyle w:val="a7"/>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4" name="image4.png" descr="kitaake_rice_Chr5_plot_paper.png"/>
                  <wp:cNvGraphicFramePr/>
                  <a:graphic xmlns:a="http://schemas.openxmlformats.org/drawingml/2006/main">
                    <a:graphicData uri="http://schemas.openxmlformats.org/drawingml/2006/picture">
                      <pic:pic xmlns:pic="http://schemas.openxmlformats.org/drawingml/2006/picture">
                        <pic:nvPicPr>
                          <pic:cNvPr id="0" name="image4.png" descr="kitaake_rice_Chr5_plot_paper.png"/>
                          <pic:cNvPicPr preferRelativeResize="0"/>
                        </pic:nvPicPr>
                        <pic:blipFill>
                          <a:blip r:embed="rId8"/>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S5:</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5.</w:t>
            </w:r>
          </w:p>
        </w:tc>
      </w:tr>
    </w:tbl>
    <w:p w:rsidR="00B4406B" w:rsidRDefault="00B4406B">
      <w:pPr>
        <w:spacing w:line="360" w:lineRule="auto"/>
        <w:jc w:val="both"/>
        <w:rPr>
          <w:rFonts w:ascii="Arial" w:eastAsia="Arial" w:hAnsi="Arial" w:cs="Arial"/>
          <w:b/>
          <w:color w:val="000000"/>
          <w:sz w:val="20"/>
          <w:szCs w:val="20"/>
        </w:rPr>
      </w:pPr>
    </w:p>
    <w:tbl>
      <w:tblPr>
        <w:tblStyle w:val="a8"/>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7" name="image1.png" descr="kitaake_rice_Chr6_plot_paper.png"/>
                  <wp:cNvGraphicFramePr/>
                  <a:graphic xmlns:a="http://schemas.openxmlformats.org/drawingml/2006/main">
                    <a:graphicData uri="http://schemas.openxmlformats.org/drawingml/2006/picture">
                      <pic:pic xmlns:pic="http://schemas.openxmlformats.org/drawingml/2006/picture">
                        <pic:nvPicPr>
                          <pic:cNvPr id="0" name="image1.png" descr="kitaake_rice_Chr6_plot_paper.png"/>
                          <pic:cNvPicPr preferRelativeResize="0"/>
                        </pic:nvPicPr>
                        <pic:blipFill>
                          <a:blip r:embed="rId9"/>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S6:</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6.</w:t>
            </w:r>
          </w:p>
        </w:tc>
      </w:tr>
    </w:tbl>
    <w:p w:rsidR="00B4406B" w:rsidRDefault="00B4406B">
      <w:pPr>
        <w:spacing w:line="360" w:lineRule="auto"/>
        <w:jc w:val="both"/>
        <w:rPr>
          <w:rFonts w:ascii="Arial" w:eastAsia="Arial" w:hAnsi="Arial" w:cs="Arial"/>
          <w:b/>
          <w:color w:val="000000"/>
          <w:sz w:val="20"/>
          <w:szCs w:val="20"/>
        </w:rPr>
      </w:pPr>
    </w:p>
    <w:tbl>
      <w:tblPr>
        <w:tblStyle w:val="a9"/>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6" name="image2.png" descr="kitaake_rice_Chr7_plot_paper.png"/>
                  <wp:cNvGraphicFramePr/>
                  <a:graphic xmlns:a="http://schemas.openxmlformats.org/drawingml/2006/main">
                    <a:graphicData uri="http://schemas.openxmlformats.org/drawingml/2006/picture">
                      <pic:pic xmlns:pic="http://schemas.openxmlformats.org/drawingml/2006/picture">
                        <pic:nvPicPr>
                          <pic:cNvPr id="0" name="image2.png" descr="kitaake_rice_Chr7_plot_paper.png"/>
                          <pic:cNvPicPr preferRelativeResize="0"/>
                        </pic:nvPicPr>
                        <pic:blipFill>
                          <a:blip r:embed="rId10"/>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S7:</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7.</w:t>
            </w:r>
          </w:p>
        </w:tc>
      </w:tr>
    </w:tbl>
    <w:p w:rsidR="00B4406B" w:rsidRDefault="00B4406B">
      <w:pPr>
        <w:spacing w:line="360" w:lineRule="auto"/>
        <w:jc w:val="both"/>
        <w:rPr>
          <w:rFonts w:ascii="Arial" w:eastAsia="Arial" w:hAnsi="Arial" w:cs="Arial"/>
          <w:b/>
          <w:color w:val="000000"/>
          <w:sz w:val="20"/>
          <w:szCs w:val="20"/>
        </w:rPr>
      </w:pPr>
    </w:p>
    <w:tbl>
      <w:tblPr>
        <w:tblStyle w:val="aa"/>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9" name="image5.png" descr="kitaake_rice_Chr8_plot_paper.png"/>
                  <wp:cNvGraphicFramePr/>
                  <a:graphic xmlns:a="http://schemas.openxmlformats.org/drawingml/2006/main">
                    <a:graphicData uri="http://schemas.openxmlformats.org/drawingml/2006/picture">
                      <pic:pic xmlns:pic="http://schemas.openxmlformats.org/drawingml/2006/picture">
                        <pic:nvPicPr>
                          <pic:cNvPr id="0" name="image5.png" descr="kitaake_rice_Chr8_plot_paper.png"/>
                          <pic:cNvPicPr preferRelativeResize="0"/>
                        </pic:nvPicPr>
                        <pic:blipFill>
                          <a:blip r:embed="rId11"/>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S8:</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956DA4">
              <w:rPr>
                <w:rFonts w:ascii="Arial" w:eastAsia="Arial" w:hAnsi="Arial" w:cs="Arial"/>
                <w:color w:val="000000"/>
                <w:sz w:val="20"/>
                <w:szCs w:val="20"/>
              </w:rPr>
              <w:t>X</w:t>
            </w:r>
            <w:proofErr w:type="spellEnd"/>
            <w:r>
              <w:rPr>
                <w:rFonts w:ascii="Arial" w:eastAsia="Arial" w:hAnsi="Arial" w:cs="Arial"/>
                <w:color w:val="000000"/>
                <w:sz w:val="20"/>
                <w:szCs w:val="20"/>
              </w:rPr>
              <w:t>) chromosome 8.</w:t>
            </w:r>
          </w:p>
        </w:tc>
      </w:tr>
    </w:tbl>
    <w:p w:rsidR="00B4406B" w:rsidRDefault="00B4406B">
      <w:pPr>
        <w:spacing w:line="360" w:lineRule="auto"/>
        <w:jc w:val="both"/>
        <w:rPr>
          <w:rFonts w:ascii="Arial" w:eastAsia="Arial" w:hAnsi="Arial" w:cs="Arial"/>
          <w:b/>
          <w:color w:val="000000"/>
          <w:sz w:val="20"/>
          <w:szCs w:val="20"/>
        </w:rPr>
      </w:pPr>
    </w:p>
    <w:tbl>
      <w:tblPr>
        <w:tblStyle w:val="ab"/>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8" name="image10.png" descr="kitaake_rice_Chr9_plot_paper.png"/>
                  <wp:cNvGraphicFramePr/>
                  <a:graphic xmlns:a="http://schemas.openxmlformats.org/drawingml/2006/main">
                    <a:graphicData uri="http://schemas.openxmlformats.org/drawingml/2006/picture">
                      <pic:pic xmlns:pic="http://schemas.openxmlformats.org/drawingml/2006/picture">
                        <pic:nvPicPr>
                          <pic:cNvPr id="0" name="image10.png" descr="kitaake_rice_Chr9_plot_paper.png"/>
                          <pic:cNvPicPr preferRelativeResize="0"/>
                        </pic:nvPicPr>
                        <pic:blipFill>
                          <a:blip r:embed="rId12"/>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S9:</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9.</w:t>
            </w:r>
          </w:p>
        </w:tc>
      </w:tr>
    </w:tbl>
    <w:p w:rsidR="00B4406B" w:rsidRDefault="00B4406B">
      <w:pPr>
        <w:spacing w:line="360" w:lineRule="auto"/>
        <w:jc w:val="both"/>
        <w:rPr>
          <w:rFonts w:ascii="Arial" w:eastAsia="Arial" w:hAnsi="Arial" w:cs="Arial"/>
          <w:b/>
          <w:color w:val="000000"/>
          <w:sz w:val="20"/>
          <w:szCs w:val="20"/>
        </w:rPr>
      </w:pPr>
    </w:p>
    <w:tbl>
      <w:tblPr>
        <w:tblStyle w:val="ac"/>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12" name="image8.png" descr="kitaake_rice_Chr10_plot_paper.png"/>
                  <wp:cNvGraphicFramePr/>
                  <a:graphic xmlns:a="http://schemas.openxmlformats.org/drawingml/2006/main">
                    <a:graphicData uri="http://schemas.openxmlformats.org/drawingml/2006/picture">
                      <pic:pic xmlns:pic="http://schemas.openxmlformats.org/drawingml/2006/picture">
                        <pic:nvPicPr>
                          <pic:cNvPr id="0" name="image8.png" descr="kitaake_rice_Chr10_plot_paper.png"/>
                          <pic:cNvPicPr preferRelativeResize="0"/>
                        </pic:nvPicPr>
                        <pic:blipFill>
                          <a:blip r:embed="rId13"/>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S10:</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10.</w:t>
            </w:r>
          </w:p>
        </w:tc>
      </w:tr>
    </w:tbl>
    <w:p w:rsidR="00B4406B" w:rsidRDefault="00B4406B">
      <w:pPr>
        <w:spacing w:line="360" w:lineRule="auto"/>
        <w:jc w:val="both"/>
        <w:rPr>
          <w:rFonts w:ascii="Arial" w:eastAsia="Arial" w:hAnsi="Arial" w:cs="Arial"/>
          <w:b/>
          <w:color w:val="000000"/>
          <w:sz w:val="20"/>
          <w:szCs w:val="20"/>
        </w:rPr>
      </w:pPr>
    </w:p>
    <w:tbl>
      <w:tblPr>
        <w:tblStyle w:val="ad"/>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10" name="image3.png" descr="kitaake_rice_Chr11_plot_paper.png"/>
                  <wp:cNvGraphicFramePr/>
                  <a:graphic xmlns:a="http://schemas.openxmlformats.org/drawingml/2006/main">
                    <a:graphicData uri="http://schemas.openxmlformats.org/drawingml/2006/picture">
                      <pic:pic xmlns:pic="http://schemas.openxmlformats.org/drawingml/2006/picture">
                        <pic:nvPicPr>
                          <pic:cNvPr id="0" name="image3.png" descr="kitaake_rice_Chr11_plot_paper.png"/>
                          <pic:cNvPicPr preferRelativeResize="0"/>
                        </pic:nvPicPr>
                        <pic:blipFill>
                          <a:blip r:embed="rId14"/>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S11:</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11.</w:t>
            </w:r>
          </w:p>
        </w:tc>
      </w:tr>
    </w:tbl>
    <w:p w:rsidR="00B4406B" w:rsidRDefault="00B4406B">
      <w:pPr>
        <w:spacing w:line="360" w:lineRule="auto"/>
        <w:jc w:val="both"/>
        <w:rPr>
          <w:rFonts w:ascii="Arial" w:eastAsia="Arial" w:hAnsi="Arial" w:cs="Arial"/>
          <w:b/>
          <w:color w:val="000000"/>
          <w:sz w:val="20"/>
          <w:szCs w:val="20"/>
        </w:rPr>
      </w:pPr>
    </w:p>
    <w:tbl>
      <w:tblPr>
        <w:tblStyle w:val="ae"/>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11" name="image12.png" descr="kitaake_rice_Chr12_plot_paper.png"/>
                  <wp:cNvGraphicFramePr/>
                  <a:graphic xmlns:a="http://schemas.openxmlformats.org/drawingml/2006/main">
                    <a:graphicData uri="http://schemas.openxmlformats.org/drawingml/2006/picture">
                      <pic:pic xmlns:pic="http://schemas.openxmlformats.org/drawingml/2006/picture">
                        <pic:nvPicPr>
                          <pic:cNvPr id="0" name="image12.png" descr="kitaake_rice_Chr12_plot_paper.png"/>
                          <pic:cNvPicPr preferRelativeResize="0"/>
                        </pic:nvPicPr>
                        <pic:blipFill>
                          <a:blip r:embed="rId15"/>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S12:</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12.</w:t>
            </w:r>
          </w:p>
        </w:tc>
      </w:tr>
    </w:tbl>
    <w:p w:rsidR="00B4406B" w:rsidRDefault="00920D24">
      <w:pPr>
        <w:jc w:val="both"/>
        <w:rPr>
          <w:rFonts w:ascii="Arial" w:eastAsia="Arial" w:hAnsi="Arial" w:cs="Arial"/>
          <w:b/>
          <w:color w:val="000000"/>
          <w:sz w:val="20"/>
          <w:szCs w:val="20"/>
        </w:rPr>
      </w:pPr>
      <w:r>
        <w:br w:type="page"/>
      </w:r>
      <w:r>
        <w:rPr>
          <w:rFonts w:ascii="Arial" w:eastAsia="Arial" w:hAnsi="Arial" w:cs="Arial"/>
          <w:b/>
          <w:color w:val="000000"/>
          <w:sz w:val="20"/>
          <w:szCs w:val="20"/>
        </w:rPr>
        <w:lastRenderedPageBreak/>
        <w:t>S1.</w:t>
      </w:r>
      <w:r w:rsidR="00DA5526">
        <w:rPr>
          <w:rFonts w:ascii="Arial" w:eastAsia="Arial" w:hAnsi="Arial" w:cs="Arial"/>
          <w:b/>
          <w:color w:val="000000"/>
          <w:sz w:val="20"/>
          <w:szCs w:val="20"/>
        </w:rPr>
        <w:t>3</w:t>
      </w:r>
      <w:r>
        <w:rPr>
          <w:rFonts w:ascii="Arial" w:eastAsia="Arial" w:hAnsi="Arial" w:cs="Arial"/>
          <w:b/>
          <w:color w:val="000000"/>
          <w:sz w:val="20"/>
          <w:szCs w:val="20"/>
        </w:rPr>
        <w:t xml:space="preserve"> Screening and Final Assembly Release</w:t>
      </w:r>
    </w:p>
    <w:p w:rsidR="00B4406B" w:rsidRDefault="00920D24">
      <w:pPr>
        <w:jc w:val="both"/>
        <w:rPr>
          <w:rFonts w:ascii="Arial" w:eastAsia="Arial" w:hAnsi="Arial" w:cs="Arial"/>
          <w:color w:val="000000"/>
          <w:sz w:val="20"/>
          <w:szCs w:val="20"/>
        </w:rPr>
      </w:pPr>
      <w:r>
        <w:rPr>
          <w:rFonts w:ascii="Arial" w:eastAsia="Arial" w:hAnsi="Arial" w:cs="Arial"/>
          <w:color w:val="000000"/>
          <w:sz w:val="20"/>
          <w:szCs w:val="20"/>
        </w:rPr>
        <w:t xml:space="preserve">Scaffolds that were not anchored in a chromosome were classified into bins depending on sequence content. Contamination was identified using </w:t>
      </w:r>
      <w:proofErr w:type="spellStart"/>
      <w:r>
        <w:rPr>
          <w:rFonts w:ascii="Arial" w:eastAsia="Arial" w:hAnsi="Arial" w:cs="Arial"/>
          <w:color w:val="000000"/>
          <w:sz w:val="20"/>
          <w:szCs w:val="20"/>
        </w:rPr>
        <w:t>blastn</w:t>
      </w:r>
      <w:proofErr w:type="spellEnd"/>
      <w:r>
        <w:rPr>
          <w:rFonts w:ascii="Arial" w:eastAsia="Arial" w:hAnsi="Arial" w:cs="Arial"/>
          <w:color w:val="000000"/>
          <w:sz w:val="20"/>
          <w:szCs w:val="20"/>
        </w:rPr>
        <w:t xml:space="preserve"> against the NCBI nucleotide collection (NR/NT) and </w:t>
      </w:r>
      <w:proofErr w:type="spellStart"/>
      <w:r>
        <w:rPr>
          <w:rFonts w:ascii="Arial" w:eastAsia="Arial" w:hAnsi="Arial" w:cs="Arial"/>
          <w:color w:val="000000"/>
          <w:sz w:val="20"/>
          <w:szCs w:val="20"/>
        </w:rPr>
        <w:t>blastx</w:t>
      </w:r>
      <w:proofErr w:type="spellEnd"/>
      <w:r>
        <w:rPr>
          <w:rFonts w:ascii="Arial" w:eastAsia="Arial" w:hAnsi="Arial" w:cs="Arial"/>
          <w:color w:val="000000"/>
          <w:sz w:val="20"/>
          <w:szCs w:val="20"/>
        </w:rPr>
        <w:t xml:space="preserve"> using a set of known microbial proteins. Additional scaffolds were classified as repetitive (&gt;95% masked with 24mers that occur more than 4 times in the genome) (67 scaffolds, 2.1 Mb), mitochondria (18 scaffolds, 800.2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prokaryotic (1 </w:t>
      </w:r>
      <w:proofErr w:type="gramStart"/>
      <w:r>
        <w:rPr>
          <w:rFonts w:ascii="Arial" w:eastAsia="Arial" w:hAnsi="Arial" w:cs="Arial"/>
          <w:color w:val="000000"/>
          <w:sz w:val="20"/>
          <w:szCs w:val="20"/>
        </w:rPr>
        <w:t>scaffolds</w:t>
      </w:r>
      <w:proofErr w:type="gramEnd"/>
      <w:r>
        <w:rPr>
          <w:rFonts w:ascii="Arial" w:eastAsia="Arial" w:hAnsi="Arial" w:cs="Arial"/>
          <w:color w:val="000000"/>
          <w:sz w:val="20"/>
          <w:szCs w:val="20"/>
        </w:rPr>
        <w:t xml:space="preserve">, 20.9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chloroplast (7 scaffolds, 162.2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and low quality scaffolds with &gt;50% of bases unpolished (8 scaffolds, 130.8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We also removed 15 scaffolds (529.5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representing the alternative haplotype of a section of sequence anchored in the chromosomes. Resulting final statistics are shown in Table S5.</w:t>
      </w:r>
    </w:p>
    <w:p w:rsidR="00B4406B" w:rsidRDefault="00B4406B">
      <w:pPr>
        <w:jc w:val="both"/>
        <w:rPr>
          <w:rFonts w:ascii="Arial" w:eastAsia="Arial" w:hAnsi="Arial" w:cs="Arial"/>
          <w:color w:val="000000"/>
          <w:sz w:val="20"/>
          <w:szCs w:val="20"/>
        </w:rPr>
      </w:pPr>
    </w:p>
    <w:tbl>
      <w:tblPr>
        <w:tblStyle w:val="af"/>
        <w:tblW w:w="59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60"/>
        <w:gridCol w:w="3226"/>
      </w:tblGrid>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Scaffold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33</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Contig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476</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Scaffold length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381.6 Mb</w:t>
            </w:r>
          </w:p>
        </w:tc>
      </w:tr>
      <w:tr w:rsidR="00B4406B">
        <w:trPr>
          <w:jc w:val="center"/>
        </w:trPr>
        <w:tc>
          <w:tcPr>
            <w:tcW w:w="2760" w:type="dxa"/>
          </w:tcPr>
          <w:p w:rsidR="00B4406B" w:rsidRDefault="00920D24">
            <w:pPr>
              <w:keepNext/>
              <w:keepLines/>
              <w:spacing w:before="200"/>
              <w:jc w:val="both"/>
              <w:rPr>
                <w:rFonts w:ascii="Arial" w:eastAsia="Arial" w:hAnsi="Arial" w:cs="Arial"/>
                <w:b/>
                <w:color w:val="000000"/>
                <w:sz w:val="20"/>
                <w:szCs w:val="20"/>
              </w:rPr>
            </w:pPr>
            <w:r>
              <w:rPr>
                <w:rFonts w:ascii="Arial" w:eastAsia="Arial" w:hAnsi="Arial" w:cs="Arial"/>
                <w:b/>
                <w:color w:val="000000"/>
                <w:sz w:val="20"/>
                <w:szCs w:val="20"/>
              </w:rPr>
              <w:t>Chromosome Sequence</w:t>
            </w:r>
          </w:p>
        </w:tc>
        <w:tc>
          <w:tcPr>
            <w:tcW w:w="3226" w:type="dxa"/>
          </w:tcPr>
          <w:p w:rsidR="00B4406B" w:rsidRDefault="00920D24">
            <w:pPr>
              <w:keepNext/>
              <w:keepLines/>
              <w:spacing w:before="200"/>
              <w:jc w:val="right"/>
              <w:rPr>
                <w:rFonts w:ascii="Arial" w:eastAsia="Arial" w:hAnsi="Arial" w:cs="Arial"/>
                <w:color w:val="000000"/>
                <w:sz w:val="20"/>
                <w:szCs w:val="20"/>
              </w:rPr>
            </w:pPr>
            <w:r>
              <w:rPr>
                <w:rFonts w:ascii="Arial" w:eastAsia="Arial" w:hAnsi="Arial" w:cs="Arial"/>
                <w:color w:val="000000"/>
                <w:sz w:val="20"/>
                <w:szCs w:val="20"/>
              </w:rPr>
              <w:t>376.4 Mb</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Contig sequence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377.6 Mb (1.0% gap)</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Scaffold N/L50</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6 / 30.3 Mb</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Contig N/L50</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75 / 1.4 Mb</w:t>
            </w:r>
          </w:p>
        </w:tc>
      </w:tr>
    </w:tbl>
    <w:p w:rsidR="00B4406B" w:rsidRDefault="00B4406B">
      <w:pPr>
        <w:ind w:right="-720"/>
        <w:jc w:val="both"/>
        <w:rPr>
          <w:rFonts w:ascii="Arial" w:eastAsia="Arial" w:hAnsi="Arial" w:cs="Arial"/>
          <w:color w:val="000000"/>
          <w:sz w:val="20"/>
          <w:szCs w:val="20"/>
        </w:rPr>
      </w:pPr>
    </w:p>
    <w:p w:rsidR="00B4406B" w:rsidRDefault="00920D24">
      <w:pPr>
        <w:jc w:val="both"/>
        <w:rPr>
          <w:rFonts w:ascii="Arial" w:eastAsia="Arial" w:hAnsi="Arial" w:cs="Arial"/>
          <w:color w:val="000000"/>
          <w:sz w:val="20"/>
          <w:szCs w:val="20"/>
        </w:rPr>
      </w:pPr>
      <w:r>
        <w:rPr>
          <w:rFonts w:ascii="Arial" w:eastAsia="Arial" w:hAnsi="Arial" w:cs="Arial"/>
          <w:b/>
          <w:color w:val="000000"/>
          <w:sz w:val="20"/>
          <w:szCs w:val="20"/>
        </w:rPr>
        <w:t>Table S5</w:t>
      </w:r>
      <w:r>
        <w:rPr>
          <w:rFonts w:ascii="Arial" w:eastAsia="Arial" w:hAnsi="Arial" w:cs="Arial"/>
          <w:color w:val="000000"/>
          <w:sz w:val="20"/>
          <w:szCs w:val="20"/>
        </w:rPr>
        <w:t>. Final summary assembly statistics for chromosome scale assembly.</w:t>
      </w: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b/>
          <w:color w:val="000000"/>
          <w:sz w:val="20"/>
          <w:szCs w:val="20"/>
        </w:rPr>
      </w:pPr>
      <w:r>
        <w:rPr>
          <w:rFonts w:ascii="Arial" w:eastAsia="Arial" w:hAnsi="Arial" w:cs="Arial"/>
          <w:b/>
          <w:color w:val="000000"/>
          <w:sz w:val="20"/>
          <w:szCs w:val="20"/>
        </w:rPr>
        <w:t>S1.</w:t>
      </w:r>
      <w:r w:rsidR="00DA5526">
        <w:rPr>
          <w:rFonts w:ascii="Arial" w:eastAsia="Arial" w:hAnsi="Arial" w:cs="Arial"/>
          <w:b/>
          <w:color w:val="000000"/>
          <w:sz w:val="20"/>
          <w:szCs w:val="20"/>
        </w:rPr>
        <w:t>4</w:t>
      </w:r>
      <w:r>
        <w:rPr>
          <w:rFonts w:ascii="Arial" w:eastAsia="Arial" w:hAnsi="Arial" w:cs="Arial"/>
          <w:b/>
          <w:color w:val="000000"/>
          <w:sz w:val="20"/>
          <w:szCs w:val="20"/>
        </w:rPr>
        <w:t xml:space="preserve"> Assessment of Assembly Accuracy:</w:t>
      </w:r>
    </w:p>
    <w:p w:rsidR="00B4406B" w:rsidRDefault="00920D24" w:rsidP="008C63F5">
      <w:pPr>
        <w:spacing w:line="276" w:lineRule="auto"/>
        <w:jc w:val="both"/>
        <w:rPr>
          <w:rFonts w:ascii="Arial" w:eastAsia="Arial" w:hAnsi="Arial" w:cs="Arial"/>
          <w:color w:val="222222"/>
          <w:sz w:val="20"/>
          <w:szCs w:val="20"/>
        </w:rPr>
      </w:pPr>
      <w:r>
        <w:rPr>
          <w:rFonts w:ascii="Arial" w:eastAsia="Arial" w:hAnsi="Arial" w:cs="Arial"/>
          <w:color w:val="000000"/>
          <w:sz w:val="20"/>
          <w:szCs w:val="20"/>
        </w:rPr>
        <w:t xml:space="preserve">A set of 346 BAC clones was sequenced in order to assess the accuracy of the assembly. A range of variants was detected in the comparison of the BAC clones and the assembly. In 271 BAC clones, the alignments were of high quality (&lt; 0.1% </w:t>
      </w:r>
      <w:proofErr w:type="spellStart"/>
      <w:r>
        <w:rPr>
          <w:rFonts w:ascii="Arial" w:eastAsia="Arial" w:hAnsi="Arial" w:cs="Arial"/>
          <w:color w:val="000000"/>
          <w:sz w:val="20"/>
          <w:szCs w:val="20"/>
        </w:rPr>
        <w:t>bp</w:t>
      </w:r>
      <w:proofErr w:type="spellEnd"/>
      <w:r>
        <w:rPr>
          <w:rFonts w:ascii="Arial" w:eastAsia="Arial" w:hAnsi="Arial" w:cs="Arial"/>
          <w:color w:val="000000"/>
          <w:sz w:val="20"/>
          <w:szCs w:val="20"/>
        </w:rPr>
        <w:t xml:space="preserve"> error); an example is given in Figure S13 (all dot plots were generated using </w:t>
      </w:r>
      <w:proofErr w:type="spellStart"/>
      <w:r>
        <w:rPr>
          <w:rFonts w:ascii="Arial" w:eastAsia="Arial" w:hAnsi="Arial" w:cs="Arial"/>
          <w:color w:val="000000"/>
          <w:sz w:val="20"/>
          <w:szCs w:val="20"/>
        </w:rPr>
        <w:t>Gepard</w:t>
      </w:r>
      <w:proofErr w:type="spellEnd"/>
      <w:r w:rsidR="008C63F5">
        <w:rPr>
          <w:rFonts w:ascii="Arial" w:eastAsia="Arial" w:hAnsi="Arial" w:cs="Arial"/>
          <w:color w:val="000000"/>
          <w:sz w:val="20"/>
          <w:szCs w:val="20"/>
        </w:rPr>
        <w:t xml:space="preserve"> </w:t>
      </w:r>
      <w:r w:rsidR="008C63F5">
        <w:rPr>
          <w:rFonts w:ascii="Arial" w:eastAsia="Arial" w:hAnsi="Arial" w:cs="Arial"/>
          <w:color w:val="000000"/>
          <w:sz w:val="20"/>
          <w:szCs w:val="20"/>
        </w:rPr>
        <w:fldChar w:fldCharType="begin"/>
      </w:r>
      <w:r w:rsidR="008C63F5">
        <w:rPr>
          <w:rFonts w:ascii="Arial" w:eastAsia="Arial" w:hAnsi="Arial" w:cs="Arial"/>
          <w:color w:val="000000"/>
          <w:sz w:val="20"/>
          <w:szCs w:val="20"/>
        </w:rPr>
        <w:instrText xml:space="preserve"> ADDIN EN.CITE &lt;EndNote&gt;&lt;Cite&gt;&lt;Author&gt;Krumsiek&lt;/Author&gt;&lt;Year&gt;2007&lt;/Year&gt;&lt;RecNum&gt;426&lt;/RecNum&gt;&lt;DisplayText&gt;[7]&lt;/DisplayText&gt;&lt;record&gt;&lt;rec-number&gt;426&lt;/rec-number&gt;&lt;foreign-keys&gt;&lt;key app="EN" db-id="f2srwft9590ax8eezw95xptb99t9wssfpwva" timestamp="1558377224"&gt;426&lt;/key&gt;&lt;/foreign-keys&gt;&lt;ref-type name="Journal Article"&gt;17&lt;/ref-type&gt;&lt;contributors&gt;&lt;authors&gt;&lt;author&gt;Krumsiek, J.&lt;/author&gt;&lt;author&gt;Arnold, R.&lt;/author&gt;&lt;author&gt;Rattei, T.&lt;/author&gt;&lt;/authors&gt;&lt;/contributors&gt;&lt;auth-address&gt;Institute for Bioinformatics (MIPS), GSF National Research Center for Environment and Health, Neuherberg, Germany. krumsiek@in.tum.de&lt;/auth-address&gt;&lt;titles&gt;&lt;title&gt;Gepard: a rapid and sensitive tool for creating dotplots on genome scale&lt;/title&gt;&lt;secondary-title&gt;Bioinformatics&lt;/secondary-title&gt;&lt;alt-title&gt;Bioinformatics (Oxford, England)&lt;/alt-title&gt;&lt;/titles&gt;&lt;periodical&gt;&lt;full-title&gt;Bioinformatics&lt;/full-title&gt;&lt;/periodical&gt;&lt;pages&gt;1026-8&lt;/pages&gt;&lt;volume&gt;23&lt;/volume&gt;&lt;number&gt;8&lt;/number&gt;&lt;edition&gt;2007/02/21&lt;/edition&gt;&lt;keywords&gt;&lt;keyword&gt;*Algorithms&lt;/keyword&gt;&lt;keyword&gt;Chromosome Mapping/*methods&lt;/keyword&gt;&lt;keyword&gt;*Computer Graphics&lt;/keyword&gt;&lt;keyword&gt;Sensitivity and Specificity&lt;/keyword&gt;&lt;keyword&gt;*Software&lt;/keyword&gt;&lt;keyword&gt;*User-Computer Interface&lt;/keyword&gt;&lt;/keywords&gt;&lt;dates&gt;&lt;year&gt;2007&lt;/year&gt;&lt;pub-dates&gt;&lt;date&gt;Apr 15&lt;/date&gt;&lt;/pub-dates&gt;&lt;/dates&gt;&lt;isbn&gt;1367-4803&lt;/isbn&gt;&lt;accession-num&gt;17309896&lt;/accession-num&gt;&lt;urls&gt;&lt;/urls&gt;&lt;electronic-resource-num&gt;10.1093/bioinformatics/btm039&lt;/electronic-resource-num&gt;&lt;remote-database-provider&gt;NLM&lt;/remote-database-provider&gt;&lt;language&gt;eng&lt;/language&gt;&lt;/record&gt;&lt;/Cite&gt;&lt;/EndNote&gt;</w:instrText>
      </w:r>
      <w:r w:rsidR="008C63F5">
        <w:rPr>
          <w:rFonts w:ascii="Arial" w:eastAsia="Arial" w:hAnsi="Arial" w:cs="Arial"/>
          <w:color w:val="000000"/>
          <w:sz w:val="20"/>
          <w:szCs w:val="20"/>
        </w:rPr>
        <w:fldChar w:fldCharType="separate"/>
      </w:r>
      <w:r w:rsidR="008C63F5">
        <w:rPr>
          <w:rFonts w:ascii="Arial" w:eastAsia="Arial" w:hAnsi="Arial" w:cs="Arial"/>
          <w:noProof/>
          <w:color w:val="000000"/>
          <w:sz w:val="20"/>
          <w:szCs w:val="20"/>
        </w:rPr>
        <w:t>[7]</w:t>
      </w:r>
      <w:r w:rsidR="008C63F5">
        <w:rPr>
          <w:rFonts w:ascii="Arial" w:eastAsia="Arial" w:hAnsi="Arial" w:cs="Arial"/>
          <w:color w:val="000000"/>
          <w:sz w:val="20"/>
          <w:szCs w:val="20"/>
        </w:rPr>
        <w:fldChar w:fldCharType="end"/>
      </w:r>
      <w:r w:rsidR="008C63F5">
        <w:rPr>
          <w:rFonts w:ascii="Arial" w:eastAsia="Arial" w:hAnsi="Arial" w:cs="Arial"/>
          <w:color w:val="000000"/>
          <w:sz w:val="20"/>
          <w:szCs w:val="20"/>
        </w:rPr>
        <w:t xml:space="preserve">. </w:t>
      </w:r>
      <w:r>
        <w:rPr>
          <w:rFonts w:ascii="Arial" w:eastAsia="Arial" w:hAnsi="Arial" w:cs="Arial"/>
          <w:color w:val="000000"/>
          <w:sz w:val="20"/>
          <w:szCs w:val="20"/>
        </w:rPr>
        <w:t xml:space="preserve">Another 60 BACs indicate a higher error rate due mainly to their placement in repetitive regions (Figure. S14). The final 15 BAC clones are clones that indicate a rearrangement (10 clones) or a putative overlap on adjacent contigs (5 clones). Figure S15 is an example of a putative overlap on adjacent contigs within a chromosome. Typically, this result indicates that two local haplotypes have been assembled on the ends of adjacent contigs. It is common practice to collapse the two haplotypes into one haplotype unless they occur in repetitive areas where a collapse is more difficult to support. For this version of the genome, 22 adjacent contig pairs were detected that have overlapping ends (5 with clone support), but they were </w:t>
      </w:r>
      <w:r>
        <w:rPr>
          <w:rFonts w:ascii="Arial" w:eastAsia="Arial" w:hAnsi="Arial" w:cs="Arial"/>
          <w:sz w:val="20"/>
          <w:szCs w:val="20"/>
        </w:rPr>
        <w:t>not</w:t>
      </w:r>
      <w:r>
        <w:rPr>
          <w:rFonts w:ascii="Arial" w:eastAsia="Arial" w:hAnsi="Arial" w:cs="Arial"/>
          <w:color w:val="000000"/>
          <w:sz w:val="20"/>
          <w:szCs w:val="20"/>
        </w:rPr>
        <w:t xml:space="preserve"> collapsed because they occur in repetitive regions.  The overall </w:t>
      </w:r>
      <w:proofErr w:type="spellStart"/>
      <w:r>
        <w:rPr>
          <w:rFonts w:ascii="Arial" w:eastAsia="Arial" w:hAnsi="Arial" w:cs="Arial"/>
          <w:color w:val="000000"/>
          <w:sz w:val="20"/>
          <w:szCs w:val="20"/>
        </w:rPr>
        <w:t>bp</w:t>
      </w:r>
      <w:proofErr w:type="spellEnd"/>
      <w:r>
        <w:rPr>
          <w:rFonts w:ascii="Arial" w:eastAsia="Arial" w:hAnsi="Arial" w:cs="Arial"/>
          <w:color w:val="000000"/>
          <w:sz w:val="20"/>
          <w:szCs w:val="20"/>
        </w:rPr>
        <w:t xml:space="preserve"> error rate (</w:t>
      </w:r>
      <w:r>
        <w:rPr>
          <w:rFonts w:ascii="Arial" w:eastAsia="Arial" w:hAnsi="Arial" w:cs="Arial"/>
          <w:sz w:val="20"/>
          <w:szCs w:val="20"/>
        </w:rPr>
        <w:t>including marked gap bases</w:t>
      </w:r>
      <w:r>
        <w:rPr>
          <w:rFonts w:ascii="Arial" w:eastAsia="Arial" w:hAnsi="Arial" w:cs="Arial"/>
          <w:color w:val="000000"/>
          <w:sz w:val="20"/>
          <w:szCs w:val="20"/>
        </w:rPr>
        <w:t xml:space="preserve">) in the BAC clones is 0.09% (45,240 discrepant </w:t>
      </w:r>
      <w:proofErr w:type="spellStart"/>
      <w:r>
        <w:rPr>
          <w:rFonts w:ascii="Arial" w:eastAsia="Arial" w:hAnsi="Arial" w:cs="Arial"/>
          <w:color w:val="000000"/>
          <w:sz w:val="20"/>
          <w:szCs w:val="20"/>
        </w:rPr>
        <w:t>bp</w:t>
      </w:r>
      <w:proofErr w:type="spellEnd"/>
      <w:r>
        <w:rPr>
          <w:rFonts w:ascii="Arial" w:eastAsia="Arial" w:hAnsi="Arial" w:cs="Arial"/>
          <w:color w:val="000000"/>
          <w:sz w:val="20"/>
          <w:szCs w:val="20"/>
        </w:rPr>
        <w:t xml:space="preserve"> out of 46,414,368).</w:t>
      </w:r>
    </w:p>
    <w:p w:rsidR="00B4406B" w:rsidRDefault="00B4406B">
      <w:pPr>
        <w:spacing w:line="276" w:lineRule="auto"/>
        <w:jc w:val="both"/>
        <w:rPr>
          <w:rFonts w:ascii="Arial" w:eastAsia="Arial" w:hAnsi="Arial" w:cs="Arial"/>
          <w:color w:val="000000"/>
          <w:sz w:val="20"/>
          <w:szCs w:val="20"/>
          <w:highlight w:val="yellow"/>
        </w:rPr>
      </w:pPr>
    </w:p>
    <w:p w:rsidR="00B4406B" w:rsidRDefault="00B4406B">
      <w:pPr>
        <w:spacing w:line="276" w:lineRule="auto"/>
        <w:jc w:val="both"/>
        <w:rPr>
          <w:rFonts w:ascii="Arial" w:eastAsia="Arial" w:hAnsi="Arial" w:cs="Arial"/>
          <w:b/>
          <w:color w:val="000000"/>
          <w:sz w:val="20"/>
          <w:szCs w:val="20"/>
        </w:rPr>
      </w:pPr>
    </w:p>
    <w:tbl>
      <w:tblPr>
        <w:tblStyle w:val="af0"/>
        <w:tblW w:w="864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B4406B">
        <w:tc>
          <w:tcPr>
            <w:tcW w:w="8640" w:type="dxa"/>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75605" cy="6778625"/>
                  <wp:effectExtent l="0" t="0" r="0" b="0"/>
                  <wp:docPr id="13" name="image13.png" descr="Local HD:Users:jjenkins:Desktop:work:assembly_writeups:Kitaake:cloneAlignments:Chr02_119492_1_8731367_8941878.png"/>
                  <wp:cNvGraphicFramePr/>
                  <a:graphic xmlns:a="http://schemas.openxmlformats.org/drawingml/2006/main">
                    <a:graphicData uri="http://schemas.openxmlformats.org/drawingml/2006/picture">
                      <pic:pic xmlns:pic="http://schemas.openxmlformats.org/drawingml/2006/picture">
                        <pic:nvPicPr>
                          <pic:cNvPr id="0" name="image13.png" descr="Local HD:Users:jjenkins:Desktop:work:assembly_writeups:Kitaake:cloneAlignments:Chr02_119492_1_8731367_8941878.png"/>
                          <pic:cNvPicPr preferRelativeResize="0"/>
                        </pic:nvPicPr>
                        <pic:blipFill>
                          <a:blip r:embed="rId16"/>
                          <a:srcRect/>
                          <a:stretch>
                            <a:fillRect/>
                          </a:stretch>
                        </pic:blipFill>
                        <pic:spPr>
                          <a:xfrm>
                            <a:off x="0" y="0"/>
                            <a:ext cx="5475605" cy="6778625"/>
                          </a:xfrm>
                          <a:prstGeom prst="rect">
                            <a:avLst/>
                          </a:prstGeom>
                          <a:ln/>
                        </pic:spPr>
                      </pic:pic>
                    </a:graphicData>
                  </a:graphic>
                </wp:inline>
              </w:drawing>
            </w:r>
          </w:p>
        </w:tc>
      </w:tr>
      <w:tr w:rsidR="00B4406B">
        <w:tc>
          <w:tcPr>
            <w:tcW w:w="8640" w:type="dxa"/>
          </w:tcPr>
          <w:p w:rsidR="00B4406B" w:rsidRDefault="00920D24">
            <w:pPr>
              <w:spacing w:line="276" w:lineRule="auto"/>
              <w:jc w:val="center"/>
              <w:rPr>
                <w:rFonts w:ascii="Arial" w:eastAsia="Arial" w:hAnsi="Arial" w:cs="Arial"/>
                <w:color w:val="000000"/>
                <w:sz w:val="20"/>
                <w:szCs w:val="20"/>
              </w:rPr>
            </w:pPr>
            <w:r>
              <w:rPr>
                <w:rFonts w:ascii="Arial" w:eastAsia="Arial" w:hAnsi="Arial" w:cs="Arial"/>
                <w:b/>
                <w:color w:val="000000"/>
                <w:sz w:val="20"/>
                <w:szCs w:val="20"/>
              </w:rPr>
              <w:t>Figure S13:</w:t>
            </w:r>
            <w:r>
              <w:rPr>
                <w:rFonts w:ascii="Arial" w:eastAsia="Arial" w:hAnsi="Arial" w:cs="Arial"/>
                <w:color w:val="000000"/>
                <w:sz w:val="20"/>
                <w:szCs w:val="20"/>
              </w:rPr>
              <w:t xml:space="preserve"> Dot plot of BAC clone 119492 on a region of Chr_02. This alignment is representative of the </w:t>
            </w:r>
            <w:proofErr w:type="gramStart"/>
            <w:r>
              <w:rPr>
                <w:rFonts w:ascii="Arial" w:eastAsia="Arial" w:hAnsi="Arial" w:cs="Arial"/>
                <w:color w:val="000000"/>
                <w:sz w:val="20"/>
                <w:szCs w:val="20"/>
              </w:rPr>
              <w:t>high quality</w:t>
            </w:r>
            <w:proofErr w:type="gramEnd"/>
            <w:r>
              <w:rPr>
                <w:rFonts w:ascii="Arial" w:eastAsia="Arial" w:hAnsi="Arial" w:cs="Arial"/>
                <w:color w:val="000000"/>
                <w:sz w:val="20"/>
                <w:szCs w:val="20"/>
              </w:rPr>
              <w:t xml:space="preserve"> BAC clone alignments in 271 of the 349 available BAC clones.</w:t>
            </w:r>
          </w:p>
        </w:tc>
      </w:tr>
    </w:tbl>
    <w:p w:rsidR="00B4406B" w:rsidRDefault="00B4406B">
      <w:pPr>
        <w:jc w:val="both"/>
        <w:rPr>
          <w:rFonts w:ascii="Arial" w:eastAsia="Arial" w:hAnsi="Arial" w:cs="Arial"/>
          <w:color w:val="000000"/>
          <w:sz w:val="20"/>
          <w:szCs w:val="20"/>
        </w:rPr>
      </w:pPr>
    </w:p>
    <w:p w:rsidR="00B4406B" w:rsidRDefault="00920D24">
      <w:pPr>
        <w:rPr>
          <w:rFonts w:ascii="Arial" w:eastAsia="Arial" w:hAnsi="Arial" w:cs="Arial"/>
          <w:color w:val="000000"/>
          <w:sz w:val="20"/>
          <w:szCs w:val="20"/>
          <w:highlight w:val="yellow"/>
        </w:rPr>
      </w:pPr>
      <w:r>
        <w:br w:type="page"/>
      </w:r>
    </w:p>
    <w:p w:rsidR="00B4406B" w:rsidRDefault="00B4406B">
      <w:pPr>
        <w:rPr>
          <w:rFonts w:ascii="Arial" w:eastAsia="Arial" w:hAnsi="Arial" w:cs="Arial"/>
          <w:color w:val="000000"/>
          <w:sz w:val="20"/>
          <w:szCs w:val="20"/>
          <w:highlight w:val="yellow"/>
        </w:rPr>
      </w:pPr>
    </w:p>
    <w:tbl>
      <w:tblPr>
        <w:tblStyle w:val="af1"/>
        <w:tblW w:w="864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B4406B">
        <w:tc>
          <w:tcPr>
            <w:tcW w:w="8640" w:type="dxa"/>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drawing>
                <wp:inline distT="0" distB="0" distL="0" distR="0">
                  <wp:extent cx="3480332" cy="6741160"/>
                  <wp:effectExtent l="0" t="0" r="0" b="0"/>
                  <wp:docPr id="14" name="image15.png" descr="Local HD:Users:jjenkins:Desktop:work:assembly_writeups:Kitaake:cloneAlignments:Chr12_120743_1_20645409_20982699.png"/>
                  <wp:cNvGraphicFramePr/>
                  <a:graphic xmlns:a="http://schemas.openxmlformats.org/drawingml/2006/main">
                    <a:graphicData uri="http://schemas.openxmlformats.org/drawingml/2006/picture">
                      <pic:pic xmlns:pic="http://schemas.openxmlformats.org/drawingml/2006/picture">
                        <pic:nvPicPr>
                          <pic:cNvPr id="0" name="image15.png" descr="Local HD:Users:jjenkins:Desktop:work:assembly_writeups:Kitaake:cloneAlignments:Chr12_120743_1_20645409_20982699.png"/>
                          <pic:cNvPicPr preferRelativeResize="0"/>
                        </pic:nvPicPr>
                        <pic:blipFill>
                          <a:blip r:embed="rId17"/>
                          <a:srcRect/>
                          <a:stretch>
                            <a:fillRect/>
                          </a:stretch>
                        </pic:blipFill>
                        <pic:spPr>
                          <a:xfrm>
                            <a:off x="0" y="0"/>
                            <a:ext cx="3480332" cy="6741160"/>
                          </a:xfrm>
                          <a:prstGeom prst="rect">
                            <a:avLst/>
                          </a:prstGeom>
                          <a:ln/>
                        </pic:spPr>
                      </pic:pic>
                    </a:graphicData>
                  </a:graphic>
                </wp:inline>
              </w:drawing>
            </w:r>
          </w:p>
        </w:tc>
      </w:tr>
      <w:tr w:rsidR="00B4406B">
        <w:tc>
          <w:tcPr>
            <w:tcW w:w="8640" w:type="dxa"/>
          </w:tcPr>
          <w:p w:rsidR="00B4406B" w:rsidRDefault="00920D24">
            <w:pPr>
              <w:spacing w:line="276" w:lineRule="auto"/>
              <w:jc w:val="center"/>
              <w:rPr>
                <w:rFonts w:ascii="Arial" w:eastAsia="Arial" w:hAnsi="Arial" w:cs="Arial"/>
                <w:color w:val="000000"/>
                <w:sz w:val="20"/>
                <w:szCs w:val="20"/>
              </w:rPr>
            </w:pPr>
            <w:r>
              <w:rPr>
                <w:rFonts w:ascii="Arial" w:eastAsia="Arial" w:hAnsi="Arial" w:cs="Arial"/>
                <w:b/>
                <w:color w:val="000000"/>
                <w:sz w:val="20"/>
                <w:szCs w:val="20"/>
              </w:rPr>
              <w:t>Figure S14:</w:t>
            </w:r>
            <w:r>
              <w:rPr>
                <w:rFonts w:ascii="Arial" w:eastAsia="Arial" w:hAnsi="Arial" w:cs="Arial"/>
                <w:color w:val="000000"/>
                <w:sz w:val="20"/>
                <w:szCs w:val="20"/>
              </w:rPr>
              <w:t xml:space="preserve"> Dot plot of BAC clone 120743 on a region of Chr_12, which is representative of the 60 clones that landed in repetitive regions of the genome.</w:t>
            </w:r>
          </w:p>
        </w:tc>
      </w:tr>
    </w:tbl>
    <w:p w:rsidR="00B4406B" w:rsidRDefault="00B4406B">
      <w:pPr>
        <w:spacing w:line="276" w:lineRule="auto"/>
        <w:rPr>
          <w:rFonts w:ascii="Arial" w:eastAsia="Arial" w:hAnsi="Arial" w:cs="Arial"/>
          <w:color w:val="000000"/>
          <w:sz w:val="20"/>
          <w:szCs w:val="20"/>
          <w:highlight w:val="yellow"/>
        </w:rPr>
      </w:pPr>
    </w:p>
    <w:tbl>
      <w:tblPr>
        <w:tblStyle w:val="af2"/>
        <w:tblW w:w="864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B4406B">
        <w:tc>
          <w:tcPr>
            <w:tcW w:w="8640" w:type="dxa"/>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3091678" cy="4927825"/>
                  <wp:effectExtent l="0" t="0" r="0" b="0"/>
                  <wp:docPr id="15" name="image14.png" descr="Local HD:Users:jjenkins:Desktop:work:assembly_writeups:Kitaake:cloneAlignments:Chr06_119503_1_14563567_14801199.png"/>
                  <wp:cNvGraphicFramePr/>
                  <a:graphic xmlns:a="http://schemas.openxmlformats.org/drawingml/2006/main">
                    <a:graphicData uri="http://schemas.openxmlformats.org/drawingml/2006/picture">
                      <pic:pic xmlns:pic="http://schemas.openxmlformats.org/drawingml/2006/picture">
                        <pic:nvPicPr>
                          <pic:cNvPr id="0" name="image14.png" descr="Local HD:Users:jjenkins:Desktop:work:assembly_writeups:Kitaake:cloneAlignments:Chr06_119503_1_14563567_14801199.png"/>
                          <pic:cNvPicPr preferRelativeResize="0"/>
                        </pic:nvPicPr>
                        <pic:blipFill>
                          <a:blip r:embed="rId18"/>
                          <a:srcRect/>
                          <a:stretch>
                            <a:fillRect/>
                          </a:stretch>
                        </pic:blipFill>
                        <pic:spPr>
                          <a:xfrm>
                            <a:off x="0" y="0"/>
                            <a:ext cx="3091678" cy="4927825"/>
                          </a:xfrm>
                          <a:prstGeom prst="rect">
                            <a:avLst/>
                          </a:prstGeom>
                          <a:ln/>
                        </pic:spPr>
                      </pic:pic>
                    </a:graphicData>
                  </a:graphic>
                </wp:inline>
              </w:drawing>
            </w:r>
          </w:p>
        </w:tc>
      </w:tr>
      <w:tr w:rsidR="00B4406B">
        <w:tc>
          <w:tcPr>
            <w:tcW w:w="8640" w:type="dxa"/>
          </w:tcPr>
          <w:p w:rsidR="00B4406B" w:rsidRDefault="00920D24">
            <w:pPr>
              <w:spacing w:line="276" w:lineRule="auto"/>
              <w:jc w:val="center"/>
              <w:rPr>
                <w:rFonts w:ascii="Arial" w:eastAsia="Arial" w:hAnsi="Arial" w:cs="Arial"/>
                <w:color w:val="000000"/>
                <w:sz w:val="20"/>
                <w:szCs w:val="20"/>
              </w:rPr>
            </w:pPr>
            <w:r>
              <w:rPr>
                <w:rFonts w:ascii="Arial" w:eastAsia="Arial" w:hAnsi="Arial" w:cs="Arial"/>
                <w:b/>
                <w:color w:val="000000"/>
                <w:sz w:val="20"/>
                <w:szCs w:val="20"/>
              </w:rPr>
              <w:t>Figure S15:</w:t>
            </w:r>
            <w:r>
              <w:rPr>
                <w:rFonts w:ascii="Arial" w:eastAsia="Arial" w:hAnsi="Arial" w:cs="Arial"/>
                <w:color w:val="000000"/>
                <w:sz w:val="20"/>
                <w:szCs w:val="20"/>
              </w:rPr>
              <w:t xml:space="preserve"> Dot plot of BAC clone 119503 in a region of Chr_06, representative of the 5 clones that align to an area where the adjacent contigs indicate that they overlap.</w:t>
            </w:r>
          </w:p>
          <w:p w:rsidR="00B4406B" w:rsidRDefault="00B4406B">
            <w:pPr>
              <w:spacing w:line="276" w:lineRule="auto"/>
              <w:jc w:val="center"/>
              <w:rPr>
                <w:rFonts w:ascii="Arial" w:eastAsia="Arial" w:hAnsi="Arial" w:cs="Arial"/>
                <w:color w:val="000000"/>
                <w:sz w:val="20"/>
                <w:szCs w:val="20"/>
              </w:rPr>
            </w:pPr>
          </w:p>
          <w:p w:rsidR="00B4406B" w:rsidRDefault="00B4406B">
            <w:pPr>
              <w:spacing w:line="276" w:lineRule="auto"/>
              <w:jc w:val="center"/>
              <w:rPr>
                <w:rFonts w:ascii="Arial" w:eastAsia="Arial" w:hAnsi="Arial" w:cs="Arial"/>
                <w:color w:val="000000"/>
                <w:sz w:val="20"/>
                <w:szCs w:val="20"/>
              </w:rPr>
            </w:pPr>
          </w:p>
          <w:p w:rsidR="00B4406B" w:rsidRDefault="00920D24">
            <w:pPr>
              <w:spacing w:line="276" w:lineRule="auto"/>
              <w:jc w:val="both"/>
              <w:rPr>
                <w:rFonts w:ascii="Arial" w:eastAsia="Arial" w:hAnsi="Arial" w:cs="Arial"/>
                <w:b/>
                <w:sz w:val="20"/>
                <w:szCs w:val="20"/>
              </w:rPr>
            </w:pPr>
            <w:bookmarkStart w:id="0" w:name="_gjdgxs" w:colFirst="0" w:colLast="0"/>
            <w:bookmarkEnd w:id="0"/>
            <w:r>
              <w:rPr>
                <w:rFonts w:ascii="Arial" w:eastAsia="Arial" w:hAnsi="Arial" w:cs="Arial"/>
                <w:b/>
                <w:sz w:val="20"/>
                <w:szCs w:val="20"/>
              </w:rPr>
              <w:t xml:space="preserve">BAC library construction: </w:t>
            </w:r>
          </w:p>
          <w:p w:rsidR="00B4406B" w:rsidRDefault="00920D24" w:rsidP="008C63F5">
            <w:p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Arrayed BAC libraries were constructed using established protocols </w:t>
            </w:r>
            <w:r w:rsidR="00002975">
              <w:rPr>
                <w:rFonts w:ascii="Arial" w:eastAsia="Arial" w:hAnsi="Arial" w:cs="Arial"/>
                <w:color w:val="000000"/>
                <w:sz w:val="20"/>
                <w:szCs w:val="20"/>
              </w:rPr>
              <w:fldChar w:fldCharType="begin"/>
            </w:r>
            <w:r w:rsidR="008C63F5">
              <w:rPr>
                <w:rFonts w:ascii="Arial" w:eastAsia="Arial" w:hAnsi="Arial" w:cs="Arial"/>
                <w:color w:val="000000"/>
                <w:sz w:val="20"/>
                <w:szCs w:val="20"/>
              </w:rPr>
              <w:instrText xml:space="preserve"> ADDIN EN.CITE &lt;EndNote&gt;&lt;Cite&gt;&lt;Author&gt;Luo&lt;/Author&gt;&lt;Year&gt;2003&lt;/Year&gt;&lt;RecNum&gt;330&lt;/RecNum&gt;&lt;DisplayText&gt;[8]&lt;/DisplayText&gt;&lt;record&gt;&lt;rec-number&gt;330&lt;/rec-number&gt;&lt;foreign-keys&gt;&lt;key app="EN" db-id="f2srwft9590ax8eezw95xptb99t9wssfpwva" timestamp="1551398552"&gt;330&lt;/key&gt;&lt;/foreign-keys&gt;&lt;ref-type name="Journal Article"&gt;17&lt;/ref-type&gt;&lt;contributors&gt;&lt;authors&gt;&lt;author&gt;Luo, M.&lt;/author&gt;&lt;author&gt;Wing, R. A.&lt;/author&gt;&lt;/authors&gt;&lt;/contributors&gt;&lt;auth-address&gt;Department of Plant Sciences, Arizona Genomics Institute, University of Arizona, Tucson, AZ, USA.&lt;/auth-address&gt;&lt;titles&gt;&lt;title&gt;An improved method for plant BAC library construction&lt;/title&gt;&lt;secondary-title&gt;Methods Mol Biol&lt;/secondary-title&gt;&lt;/titles&gt;&lt;periodical&gt;&lt;full-title&gt;Methods Mol Biol&lt;/full-title&gt;&lt;/periodical&gt;&lt;pages&gt;3-20&lt;/pages&gt;&lt;volume&gt;236&lt;/volume&gt;&lt;edition&gt;2003/09/23&lt;/edition&gt;&lt;keywords&gt;&lt;keyword&gt;Chromosome Mapping&lt;/keyword&gt;&lt;keyword&gt;Chromosomes, Artificial, Bacterial/*genetics&lt;/keyword&gt;&lt;keyword&gt;Cloning, Molecular/methods&lt;/keyword&gt;&lt;keyword&gt;*Gene Library&lt;/keyword&gt;&lt;keyword&gt;*Genetic Techniques&lt;/keyword&gt;&lt;keyword&gt;*Genome, Plant&lt;/keyword&gt;&lt;keyword&gt;Plants/*genetics&lt;/keyword&gt;&lt;/keywords&gt;&lt;dates&gt;&lt;year&gt;2003&lt;/year&gt;&lt;/dates&gt;&lt;isbn&gt;1064-3745 (Print)&amp;#xD;1064-3745 (Linking)&lt;/isbn&gt;&lt;accession-num&gt;14501055&lt;/accession-num&gt;&lt;urls&gt;&lt;related-urls&gt;&lt;url&gt;http://www.ncbi.nlm.nih.gov/pubmed/14501055&lt;/url&gt;&lt;/related-urls&gt;&lt;/urls&gt;&lt;electronic-resource-num&gt;1-59259-413-1-3 [pii]&amp;#xD;10.1385/1-59259-413-1:3&lt;/electronic-resource-num&gt;&lt;language&gt;eng&lt;/language&gt;&lt;/record&gt;&lt;/Cite&gt;&lt;/EndNote&gt;</w:instrText>
            </w:r>
            <w:r w:rsidR="00002975">
              <w:rPr>
                <w:rFonts w:ascii="Arial" w:eastAsia="Arial" w:hAnsi="Arial" w:cs="Arial"/>
                <w:color w:val="000000"/>
                <w:sz w:val="20"/>
                <w:szCs w:val="20"/>
              </w:rPr>
              <w:fldChar w:fldCharType="separate"/>
            </w:r>
            <w:r w:rsidR="008C63F5">
              <w:rPr>
                <w:rFonts w:ascii="Arial" w:eastAsia="Arial" w:hAnsi="Arial" w:cs="Arial"/>
                <w:noProof/>
                <w:color w:val="000000"/>
                <w:sz w:val="20"/>
                <w:szCs w:val="20"/>
              </w:rPr>
              <w:t>[8]</w:t>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t>.</w:t>
            </w:r>
            <w:r>
              <w:rPr>
                <w:rFonts w:ascii="Arial" w:eastAsia="Arial" w:hAnsi="Arial" w:cs="Arial"/>
                <w:color w:val="000000"/>
                <w:sz w:val="20"/>
                <w:szCs w:val="20"/>
              </w:rPr>
              <w:t xml:space="preserve"> Briefly, young rice leaves (</w:t>
            </w:r>
            <w:proofErr w:type="spellStart"/>
            <w:r>
              <w:rPr>
                <w:rFonts w:ascii="Arial" w:eastAsia="Arial" w:hAnsi="Arial" w:cs="Arial"/>
                <w:color w:val="000000"/>
                <w:sz w:val="20"/>
                <w:szCs w:val="20"/>
              </w:rPr>
              <w:t>Kitaake</w:t>
            </w:r>
            <w:r w:rsidR="00B25AB9">
              <w:rPr>
                <w:rFonts w:ascii="Arial" w:eastAsia="Arial" w:hAnsi="Arial" w:cs="Arial"/>
                <w:color w:val="000000"/>
                <w:sz w:val="20"/>
                <w:szCs w:val="20"/>
              </w:rPr>
              <w:t>X</w:t>
            </w:r>
            <w:proofErr w:type="spellEnd"/>
            <w:r w:rsidR="00B25AB9">
              <w:rPr>
                <w:rFonts w:ascii="Arial" w:eastAsia="Arial" w:hAnsi="Arial" w:cs="Arial"/>
                <w:color w:val="000000"/>
                <w:sz w:val="20"/>
                <w:szCs w:val="20"/>
              </w:rPr>
              <w:t xml:space="preserve"> plants</w:t>
            </w:r>
            <w:r>
              <w:rPr>
                <w:rFonts w:ascii="Arial" w:eastAsia="Arial" w:hAnsi="Arial" w:cs="Arial"/>
                <w:color w:val="000000"/>
                <w:sz w:val="20"/>
                <w:szCs w:val="20"/>
              </w:rPr>
              <w:t xml:space="preserve">) were ground with liquid nitrogen and extracted for the isolation of intact nuclei. HMW DNA was isolated from nuclei imbedded in LMT agarose and lysed with detergent and proteinase K, followed by partial digestion with </w:t>
            </w:r>
            <w:proofErr w:type="spellStart"/>
            <w:r>
              <w:rPr>
                <w:rFonts w:ascii="Arial" w:eastAsia="Arial" w:hAnsi="Arial" w:cs="Arial"/>
                <w:i/>
                <w:color w:val="000000"/>
                <w:sz w:val="20"/>
                <w:szCs w:val="20"/>
              </w:rPr>
              <w:t>Hind</w:t>
            </w:r>
            <w:r>
              <w:rPr>
                <w:rFonts w:ascii="Arial" w:eastAsia="Arial" w:hAnsi="Arial" w:cs="Arial"/>
                <w:color w:val="000000"/>
                <w:sz w:val="20"/>
                <w:szCs w:val="20"/>
              </w:rPr>
              <w:t>III</w:t>
            </w:r>
            <w:proofErr w:type="spellEnd"/>
            <w:r>
              <w:rPr>
                <w:rFonts w:ascii="Arial" w:eastAsia="Arial" w:hAnsi="Arial" w:cs="Arial"/>
                <w:color w:val="000000"/>
                <w:sz w:val="20"/>
                <w:szCs w:val="20"/>
              </w:rPr>
              <w:t xml:space="preserve">. After PFGE separation, appropriately sized HMW DNA fragments were cloned into the pAGIBAC1 vector </w:t>
            </w:r>
            <w:r w:rsidR="008C63F5">
              <w:rPr>
                <w:rFonts w:ascii="Arial" w:eastAsia="Arial" w:hAnsi="Arial" w:cs="Arial"/>
                <w:color w:val="000000"/>
                <w:sz w:val="20"/>
                <w:szCs w:val="20"/>
              </w:rPr>
              <w:fldChar w:fldCharType="begin">
                <w:fldData xml:space="preserve">PEVuZE5vdGU+PENpdGU+PEF1dGhvcj5BbW1pcmFqdTwvQXV0aG9yPjxZZWFyPjIwMDY8L1llYXI+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</w:fldData>
              </w:fldChar>
            </w:r>
            <w:r w:rsidR="008C63F5">
              <w:rPr>
                <w:rFonts w:ascii="Arial" w:eastAsia="Arial" w:hAnsi="Arial" w:cs="Arial"/>
                <w:color w:val="000000"/>
                <w:sz w:val="20"/>
                <w:szCs w:val="20"/>
              </w:rPr>
              <w:instrText xml:space="preserve"> ADDIN EN.CITE </w:instrText>
            </w:r>
            <w:r w:rsidR="008C63F5">
              <w:rPr>
                <w:rFonts w:ascii="Arial" w:eastAsia="Arial" w:hAnsi="Arial" w:cs="Arial"/>
                <w:color w:val="000000"/>
                <w:sz w:val="20"/>
                <w:szCs w:val="20"/>
              </w:rPr>
              <w:fldChar w:fldCharType="begin">
                <w:fldData xml:space="preserve">PEVuZE5vdGU+PENpdGU+PEF1dGhvcj5BbW1pcmFqdTwvQXV0aG9yPjxZZWFyPjIwMDY8L1llYXI+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</w:fldData>
              </w:fldChar>
            </w:r>
            <w:r w:rsidR="008C63F5">
              <w:rPr>
                <w:rFonts w:ascii="Arial" w:eastAsia="Arial" w:hAnsi="Arial" w:cs="Arial"/>
                <w:color w:val="000000"/>
                <w:sz w:val="20"/>
                <w:szCs w:val="20"/>
              </w:rPr>
              <w:instrText xml:space="preserve"> ADDIN EN.CITE.DATA </w:instrText>
            </w:r>
            <w:r w:rsidR="008C63F5">
              <w:rPr>
                <w:rFonts w:ascii="Arial" w:eastAsia="Arial" w:hAnsi="Arial" w:cs="Arial"/>
                <w:color w:val="000000"/>
                <w:sz w:val="20"/>
                <w:szCs w:val="20"/>
              </w:rPr>
            </w:r>
            <w:r w:rsidR="008C63F5">
              <w:rPr>
                <w:rFonts w:ascii="Arial" w:eastAsia="Arial" w:hAnsi="Arial" w:cs="Arial"/>
                <w:color w:val="000000"/>
                <w:sz w:val="20"/>
                <w:szCs w:val="20"/>
              </w:rPr>
              <w:fldChar w:fldCharType="end"/>
            </w:r>
            <w:r w:rsidR="008C63F5">
              <w:rPr>
                <w:rFonts w:ascii="Arial" w:eastAsia="Arial" w:hAnsi="Arial" w:cs="Arial"/>
                <w:color w:val="000000"/>
                <w:sz w:val="20"/>
                <w:szCs w:val="20"/>
              </w:rPr>
            </w:r>
            <w:r w:rsidR="008C63F5">
              <w:rPr>
                <w:rFonts w:ascii="Arial" w:eastAsia="Arial" w:hAnsi="Arial" w:cs="Arial"/>
                <w:color w:val="000000"/>
                <w:sz w:val="20"/>
                <w:szCs w:val="20"/>
              </w:rPr>
              <w:fldChar w:fldCharType="separate"/>
            </w:r>
            <w:r w:rsidR="008C63F5">
              <w:rPr>
                <w:rFonts w:ascii="Arial" w:eastAsia="Arial" w:hAnsi="Arial" w:cs="Arial"/>
                <w:noProof/>
                <w:color w:val="000000"/>
                <w:sz w:val="20"/>
                <w:szCs w:val="20"/>
              </w:rPr>
              <w:t>[9]</w:t>
            </w:r>
            <w:r w:rsidR="008C63F5">
              <w:rPr>
                <w:rFonts w:ascii="Arial" w:eastAsia="Arial" w:hAnsi="Arial" w:cs="Arial"/>
                <w:color w:val="000000"/>
                <w:sz w:val="20"/>
                <w:szCs w:val="20"/>
              </w:rPr>
              <w:fldChar w:fldCharType="end"/>
            </w:r>
            <w:r w:rsidR="008C63F5">
              <w:rPr>
                <w:rFonts w:ascii="Arial" w:eastAsia="Arial" w:hAnsi="Arial" w:cs="Arial"/>
                <w:color w:val="000000"/>
                <w:sz w:val="20"/>
                <w:szCs w:val="20"/>
              </w:rPr>
              <w:t xml:space="preserve">. </w:t>
            </w:r>
            <w:r>
              <w:rPr>
                <w:rFonts w:ascii="Arial" w:eastAsia="Arial" w:hAnsi="Arial" w:cs="Arial"/>
                <w:color w:val="000000"/>
                <w:sz w:val="20"/>
                <w:szCs w:val="20"/>
              </w:rPr>
              <w:t xml:space="preserve">Following mass transformation into DH10B T1 phage resistant </w:t>
            </w:r>
            <w:r>
              <w:rPr>
                <w:rFonts w:ascii="Arial" w:eastAsia="Arial" w:hAnsi="Arial" w:cs="Arial"/>
                <w:i/>
                <w:color w:val="000000"/>
                <w:sz w:val="20"/>
                <w:szCs w:val="20"/>
              </w:rPr>
              <w:t>E coli</w:t>
            </w:r>
            <w:r>
              <w:rPr>
                <w:rFonts w:ascii="Arial" w:eastAsia="Arial" w:hAnsi="Arial" w:cs="Arial"/>
                <w:color w:val="000000"/>
                <w:sz w:val="20"/>
                <w:szCs w:val="20"/>
              </w:rPr>
              <w:t xml:space="preserve"> competent cells and spreading onto agar trays, BAC colonies were robotically picked into 384-well microtiter plates containing standard </w:t>
            </w:r>
            <w:r>
              <w:rPr>
                <w:rFonts w:ascii="Arial" w:eastAsia="Arial" w:hAnsi="Arial" w:cs="Arial"/>
                <w:i/>
                <w:color w:val="000000"/>
                <w:sz w:val="20"/>
                <w:szCs w:val="20"/>
              </w:rPr>
              <w:t>E coli</w:t>
            </w:r>
            <w:r>
              <w:rPr>
                <w:rFonts w:ascii="Arial" w:eastAsia="Arial" w:hAnsi="Arial" w:cs="Arial"/>
                <w:color w:val="000000"/>
                <w:sz w:val="20"/>
                <w:szCs w:val="20"/>
              </w:rPr>
              <w:t xml:space="preserve"> growth media supplemented for long-term storage </w:t>
            </w:r>
            <w:r w:rsidR="00753B73">
              <w:rPr>
                <w:rFonts w:ascii="Arial" w:eastAsia="Arial" w:hAnsi="Arial" w:cs="Arial"/>
                <w:color w:val="000000"/>
                <w:sz w:val="20"/>
                <w:szCs w:val="20"/>
              </w:rPr>
              <w:fldChar w:fldCharType="begin"/>
            </w:r>
            <w:r w:rsidR="00753B73">
              <w:rPr>
                <w:rFonts w:ascii="Arial" w:eastAsia="Arial" w:hAnsi="Arial" w:cs="Arial"/>
                <w:color w:val="000000"/>
                <w:sz w:val="20"/>
                <w:szCs w:val="20"/>
              </w:rPr>
              <w:instrText xml:space="preserve"> ADDIN EN.CITE &lt;EndNote&gt;&lt;Cite&gt;&lt;Author&gt;Luo&lt;/Author&gt;&lt;Year&gt;2003&lt;/Year&gt;&lt;RecNum&gt;330&lt;/RecNum&gt;&lt;DisplayText&gt;[8]&lt;/DisplayText&gt;&lt;record&gt;&lt;rec-number&gt;330&lt;/rec-number&gt;&lt;foreign-keys&gt;&lt;key app="EN" db-id="f2srwft9590ax8eezw95xptb99t9wssfpwva" timestamp="1551398552"&gt;330&lt;/key&gt;&lt;/foreign-keys&gt;&lt;ref-type name="Journal Article"&gt;17&lt;/ref-type&gt;&lt;contributors&gt;&lt;authors&gt;&lt;author&gt;Luo, M.&lt;/author&gt;&lt;author&gt;Wing, R. A.&lt;/author&gt;&lt;/authors&gt;&lt;/contributors&gt;&lt;auth-address&gt;Department of Plant Sciences, Arizona Genomics Institute, University of Arizona, Tucson, AZ, USA.&lt;/auth-address&gt;&lt;titles&gt;&lt;title&gt;An improved method for plant BAC library construction&lt;/title&gt;&lt;secondary-title&gt;Methods Mol Biol&lt;/secondary-title&gt;&lt;/titles&gt;&lt;periodical&gt;&lt;full-title&gt;Methods Mol Biol&lt;/full-title&gt;&lt;/periodical&gt;&lt;pages&gt;3-20&lt;/pages&gt;&lt;volume&gt;236&lt;/volume&gt;&lt;edition&gt;2003/09/23&lt;/edition&gt;&lt;keywords&gt;&lt;keyword&gt;Chromosome Mapping&lt;/keyword&gt;&lt;keyword&gt;Chromosomes, Artificial, Bacterial/*genetics&lt;/keyword&gt;&lt;keyword&gt;Cloning, Molecular/methods&lt;/keyword&gt;&lt;keyword&gt;*Gene Library&lt;/keyword&gt;&lt;keyword&gt;*Genetic Techniques&lt;/keyword&gt;&lt;keyword&gt;*Genome, Plant&lt;/keyword&gt;&lt;keyword&gt;Plants/*genetics&lt;/keyword&gt;&lt;/keywords&gt;&lt;dates&gt;&lt;year&gt;2003&lt;/year&gt;&lt;/dates&gt;&lt;isbn&gt;1064-3745 (Print)&amp;#xD;1064-3745 (Linking)&lt;/isbn&gt;&lt;accession-num&gt;14501055&lt;/accession-num&gt;&lt;urls&gt;&lt;related-urls&gt;&lt;url&gt;http://www.ncbi.nlm.nih.gov/pubmed/14501055&lt;/url&gt;&lt;/related-urls&gt;&lt;/urls&gt;&lt;electronic-resource-num&gt;1-59259-413-1-3 [pii]&amp;#xD;10.1385/1-59259-413-1:3&lt;/electronic-resource-num&gt;&lt;language&gt;eng&lt;/language&gt;&lt;/record&gt;&lt;/Cite&gt;&lt;/EndNote&gt;</w:instrText>
            </w:r>
            <w:r w:rsidR="00753B73">
              <w:rPr>
                <w:rFonts w:ascii="Arial" w:eastAsia="Arial" w:hAnsi="Arial" w:cs="Arial"/>
                <w:color w:val="000000"/>
                <w:sz w:val="20"/>
                <w:szCs w:val="20"/>
              </w:rPr>
              <w:fldChar w:fldCharType="separate"/>
            </w:r>
            <w:r w:rsidR="00753B73">
              <w:rPr>
                <w:rFonts w:ascii="Arial" w:eastAsia="Arial" w:hAnsi="Arial" w:cs="Arial"/>
                <w:noProof/>
                <w:color w:val="000000"/>
                <w:sz w:val="20"/>
                <w:szCs w:val="20"/>
              </w:rPr>
              <w:t>[8]</w:t>
            </w:r>
            <w:r w:rsidR="00753B73">
              <w:rPr>
                <w:rFonts w:ascii="Arial" w:eastAsia="Arial" w:hAnsi="Arial" w:cs="Arial"/>
                <w:color w:val="000000"/>
                <w:sz w:val="20"/>
                <w:szCs w:val="20"/>
              </w:rPr>
              <w:fldChar w:fldCharType="end"/>
            </w:r>
            <w:r w:rsidR="00753B73">
              <w:rPr>
                <w:rFonts w:ascii="Arial" w:eastAsia="Arial" w:hAnsi="Arial" w:cs="Arial"/>
                <w:color w:val="000000"/>
                <w:sz w:val="20"/>
                <w:szCs w:val="20"/>
              </w:rPr>
              <w:t xml:space="preserve">. </w:t>
            </w:r>
            <w:r>
              <w:rPr>
                <w:rFonts w:ascii="Arial" w:eastAsia="Arial" w:hAnsi="Arial" w:cs="Arial"/>
                <w:color w:val="000000"/>
                <w:sz w:val="20"/>
                <w:szCs w:val="20"/>
              </w:rPr>
              <w:t xml:space="preserve">Similarly, a second </w:t>
            </w:r>
            <w:proofErr w:type="spellStart"/>
            <w:r>
              <w:rPr>
                <w:rFonts w:ascii="Arial" w:eastAsia="Arial" w:hAnsi="Arial" w:cs="Arial"/>
                <w:color w:val="000000"/>
                <w:sz w:val="20"/>
                <w:szCs w:val="20"/>
              </w:rPr>
              <w:t>Kitaake</w:t>
            </w:r>
            <w:r w:rsidR="00F0376A">
              <w:rPr>
                <w:rFonts w:ascii="Arial" w:eastAsia="Arial" w:hAnsi="Arial" w:cs="Arial"/>
                <w:color w:val="000000"/>
                <w:sz w:val="20"/>
                <w:szCs w:val="20"/>
              </w:rPr>
              <w:t>X</w:t>
            </w:r>
            <w:bookmarkStart w:id="1" w:name="_GoBack"/>
            <w:bookmarkEnd w:id="1"/>
            <w:proofErr w:type="spellEnd"/>
            <w:r>
              <w:rPr>
                <w:rFonts w:ascii="Arial" w:eastAsia="Arial" w:hAnsi="Arial" w:cs="Arial"/>
                <w:color w:val="000000"/>
                <w:sz w:val="20"/>
                <w:szCs w:val="20"/>
              </w:rPr>
              <w:t xml:space="preserve"> BAC library was constructed using the restriction enzyme </w:t>
            </w:r>
            <w:proofErr w:type="spellStart"/>
            <w:r>
              <w:rPr>
                <w:rFonts w:ascii="Arial" w:eastAsia="Arial" w:hAnsi="Arial" w:cs="Arial"/>
                <w:i/>
                <w:color w:val="000000"/>
                <w:sz w:val="20"/>
                <w:szCs w:val="20"/>
              </w:rPr>
              <w:t>BstY</w:t>
            </w:r>
            <w:r>
              <w:rPr>
                <w:rFonts w:ascii="Arial" w:eastAsia="Arial" w:hAnsi="Arial" w:cs="Arial"/>
                <w:color w:val="000000"/>
                <w:sz w:val="20"/>
                <w:szCs w:val="20"/>
              </w:rPr>
              <w:t>I</w:t>
            </w:r>
            <w:proofErr w:type="spellEnd"/>
            <w:r>
              <w:rPr>
                <w:rFonts w:ascii="Arial" w:eastAsia="Arial" w:hAnsi="Arial" w:cs="Arial"/>
                <w:color w:val="000000"/>
                <w:sz w:val="20"/>
                <w:szCs w:val="20"/>
              </w:rPr>
              <w:t>. Copies of each BAC library were produced robotically and stored at -80</w:t>
            </w:r>
            <w:r>
              <w:rPr>
                <w:rFonts w:ascii="Arial" w:eastAsia="Arial" w:hAnsi="Arial" w:cs="Arial"/>
                <w:color w:val="000000"/>
                <w:sz w:val="20"/>
                <w:szCs w:val="20"/>
                <w:vertAlign w:val="superscript"/>
              </w:rPr>
              <w:t>0</w:t>
            </w:r>
            <w:r>
              <w:rPr>
                <w:rFonts w:ascii="Arial" w:eastAsia="Arial" w:hAnsi="Arial" w:cs="Arial"/>
                <w:color w:val="000000"/>
                <w:sz w:val="20"/>
                <w:szCs w:val="20"/>
              </w:rPr>
              <w:t>C.</w:t>
            </w:r>
          </w:p>
          <w:p w:rsidR="00B4406B" w:rsidRDefault="00B4406B">
            <w:pPr>
              <w:pBdr>
                <w:top w:val="nil"/>
                <w:left w:val="nil"/>
                <w:bottom w:val="nil"/>
                <w:right w:val="nil"/>
                <w:between w:val="nil"/>
              </w:pBdr>
              <w:rPr>
                <w:rFonts w:ascii="Arial" w:eastAsia="Arial" w:hAnsi="Arial" w:cs="Arial"/>
                <w:color w:val="000000"/>
                <w:sz w:val="20"/>
                <w:szCs w:val="20"/>
              </w:rPr>
            </w:pPr>
          </w:p>
          <w:p w:rsidR="00B4406B" w:rsidRDefault="00B4406B">
            <w:pPr>
              <w:pBdr>
                <w:top w:val="nil"/>
                <w:left w:val="nil"/>
                <w:bottom w:val="nil"/>
                <w:right w:val="nil"/>
                <w:between w:val="nil"/>
              </w:pBdr>
              <w:rPr>
                <w:rFonts w:ascii="Arial" w:eastAsia="Arial" w:hAnsi="Arial" w:cs="Arial"/>
                <w:color w:val="000000"/>
                <w:sz w:val="20"/>
                <w:szCs w:val="20"/>
              </w:rPr>
            </w:pPr>
          </w:p>
          <w:p w:rsidR="00B4406B" w:rsidRDefault="00B4406B">
            <w:pPr>
              <w:pBdr>
                <w:top w:val="nil"/>
                <w:left w:val="nil"/>
                <w:bottom w:val="nil"/>
                <w:right w:val="nil"/>
                <w:between w:val="nil"/>
              </w:pBdr>
              <w:rPr>
                <w:rFonts w:ascii="Arial" w:eastAsia="Arial" w:hAnsi="Arial" w:cs="Arial"/>
                <w:color w:val="000000"/>
                <w:sz w:val="20"/>
                <w:szCs w:val="20"/>
              </w:rPr>
            </w:pPr>
          </w:p>
          <w:tbl>
            <w:tblPr>
              <w:tblStyle w:val="af3"/>
              <w:tblW w:w="6005" w:type="dxa"/>
              <w:jc w:val="center"/>
              <w:tblLayout w:type="fixed"/>
              <w:tblLook w:val="0400" w:firstRow="0" w:lastRow="0" w:firstColumn="0" w:lastColumn="0" w:noHBand="0" w:noVBand="1"/>
            </w:tblPr>
            <w:tblGrid>
              <w:gridCol w:w="1070"/>
              <w:gridCol w:w="1732"/>
              <w:gridCol w:w="1103"/>
              <w:gridCol w:w="2100"/>
            </w:tblGrid>
            <w:tr w:rsidR="00B4406B">
              <w:trPr>
                <w:trHeight w:val="300"/>
                <w:jc w:val="center"/>
              </w:trPr>
              <w:tc>
                <w:tcPr>
                  <w:tcW w:w="1070" w:type="dxa"/>
                  <w:tcBorders>
                    <w:top w:val="single" w:sz="4" w:space="0" w:color="000000"/>
                    <w:left w:val="single" w:sz="4" w:space="0" w:color="000000"/>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lastRenderedPageBreak/>
                    <w:t>Lib name</w:t>
                  </w:r>
                </w:p>
              </w:tc>
              <w:tc>
                <w:tcPr>
                  <w:tcW w:w="1732" w:type="dxa"/>
                  <w:tcBorders>
                    <w:top w:val="single" w:sz="4" w:space="0" w:color="000000"/>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Restriction enzyme</w:t>
                  </w:r>
                </w:p>
              </w:tc>
              <w:tc>
                <w:tcPr>
                  <w:tcW w:w="1103" w:type="dxa"/>
                  <w:tcBorders>
                    <w:top w:val="single" w:sz="4" w:space="0" w:color="000000"/>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 colonies</w:t>
                  </w:r>
                </w:p>
              </w:tc>
              <w:tc>
                <w:tcPr>
                  <w:tcW w:w="2100" w:type="dxa"/>
                  <w:tcBorders>
                    <w:top w:val="single" w:sz="4" w:space="0" w:color="000000"/>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Average insert size (kb)</w:t>
                  </w:r>
                </w:p>
              </w:tc>
            </w:tr>
            <w:tr w:rsidR="00B4406B">
              <w:trPr>
                <w:trHeight w:val="300"/>
                <w:jc w:val="center"/>
              </w:trPr>
              <w:tc>
                <w:tcPr>
                  <w:tcW w:w="1070" w:type="dxa"/>
                  <w:tcBorders>
                    <w:top w:val="nil"/>
                    <w:left w:val="single" w:sz="4" w:space="0" w:color="000000"/>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color w:val="000000"/>
                      <w:sz w:val="20"/>
                      <w:szCs w:val="20"/>
                    </w:rPr>
                    <w:t>OSJKBa</w:t>
                  </w:r>
                  <w:proofErr w:type="spellEnd"/>
                </w:p>
              </w:tc>
              <w:tc>
                <w:tcPr>
                  <w:tcW w:w="1732"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i/>
                      <w:color w:val="000000"/>
                      <w:sz w:val="20"/>
                      <w:szCs w:val="20"/>
                    </w:rPr>
                    <w:t>Hind</w:t>
                  </w:r>
                  <w:r>
                    <w:rPr>
                      <w:rFonts w:ascii="Arial" w:eastAsia="Arial" w:hAnsi="Arial" w:cs="Arial"/>
                      <w:color w:val="000000"/>
                      <w:sz w:val="20"/>
                      <w:szCs w:val="20"/>
                    </w:rPr>
                    <w:t>III</w:t>
                  </w:r>
                  <w:proofErr w:type="spellEnd"/>
                </w:p>
              </w:tc>
              <w:tc>
                <w:tcPr>
                  <w:tcW w:w="1103"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28,800</w:t>
                  </w:r>
                </w:p>
              </w:tc>
              <w:tc>
                <w:tcPr>
                  <w:tcW w:w="2100"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140</w:t>
                  </w:r>
                </w:p>
              </w:tc>
            </w:tr>
            <w:tr w:rsidR="00B4406B">
              <w:trPr>
                <w:trHeight w:val="300"/>
                <w:jc w:val="center"/>
              </w:trPr>
              <w:tc>
                <w:tcPr>
                  <w:tcW w:w="1070" w:type="dxa"/>
                  <w:tcBorders>
                    <w:top w:val="nil"/>
                    <w:left w:val="single" w:sz="4" w:space="0" w:color="000000"/>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color w:val="000000"/>
                      <w:sz w:val="20"/>
                      <w:szCs w:val="20"/>
                    </w:rPr>
                    <w:t>OSJKBb</w:t>
                  </w:r>
                  <w:proofErr w:type="spellEnd"/>
                </w:p>
              </w:tc>
              <w:tc>
                <w:tcPr>
                  <w:tcW w:w="1732"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i/>
                      <w:color w:val="000000"/>
                      <w:sz w:val="20"/>
                      <w:szCs w:val="20"/>
                    </w:rPr>
                    <w:t>BstY</w:t>
                  </w:r>
                  <w:r>
                    <w:rPr>
                      <w:rFonts w:ascii="Arial" w:eastAsia="Arial" w:hAnsi="Arial" w:cs="Arial"/>
                      <w:color w:val="000000"/>
                      <w:sz w:val="20"/>
                      <w:szCs w:val="20"/>
                    </w:rPr>
                    <w:t>I</w:t>
                  </w:r>
                  <w:proofErr w:type="spellEnd"/>
                </w:p>
              </w:tc>
              <w:tc>
                <w:tcPr>
                  <w:tcW w:w="1103"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15,744</w:t>
                  </w:r>
                </w:p>
              </w:tc>
              <w:tc>
                <w:tcPr>
                  <w:tcW w:w="2100"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125</w:t>
                  </w:r>
                </w:p>
              </w:tc>
            </w:tr>
          </w:tbl>
          <w:p w:rsidR="00B4406B" w:rsidRDefault="00B4406B">
            <w:pPr>
              <w:spacing w:line="360" w:lineRule="auto"/>
              <w:jc w:val="center"/>
              <w:rPr>
                <w:rFonts w:ascii="Arial" w:eastAsia="Arial" w:hAnsi="Arial" w:cs="Arial"/>
                <w:color w:val="000000"/>
                <w:sz w:val="20"/>
                <w:szCs w:val="20"/>
              </w:rPr>
            </w:pPr>
          </w:p>
        </w:tc>
      </w:tr>
    </w:tbl>
    <w:p w:rsidR="00B4406B" w:rsidRDefault="00B4406B">
      <w:pPr>
        <w:pBdr>
          <w:top w:val="nil"/>
          <w:left w:val="nil"/>
          <w:bottom w:val="nil"/>
          <w:right w:val="nil"/>
          <w:between w:val="nil"/>
        </w:pBdr>
        <w:rPr>
          <w:rFonts w:ascii="Arial" w:eastAsia="Arial" w:hAnsi="Arial" w:cs="Arial"/>
          <w:b/>
          <w:color w:val="000000"/>
          <w:sz w:val="20"/>
          <w:szCs w:val="20"/>
        </w:rPr>
      </w:pPr>
    </w:p>
    <w:p w:rsidR="00B4406B" w:rsidRDefault="00920D24">
      <w:pPr>
        <w:pBdr>
          <w:top w:val="nil"/>
          <w:left w:val="nil"/>
          <w:bottom w:val="nil"/>
          <w:right w:val="nil"/>
          <w:between w:val="nil"/>
        </w:pBdr>
        <w:ind w:firstLine="720"/>
        <w:rPr>
          <w:rFonts w:ascii="Arial" w:eastAsia="Arial" w:hAnsi="Arial" w:cs="Arial"/>
          <w:color w:val="000000"/>
          <w:sz w:val="20"/>
          <w:szCs w:val="20"/>
        </w:rPr>
      </w:pPr>
      <w:r>
        <w:rPr>
          <w:rFonts w:ascii="Arial" w:eastAsia="Arial" w:hAnsi="Arial" w:cs="Arial"/>
          <w:b/>
          <w:color w:val="000000"/>
          <w:sz w:val="20"/>
          <w:szCs w:val="20"/>
        </w:rPr>
        <w:t>Table S6:</w:t>
      </w:r>
      <w:r>
        <w:rPr>
          <w:rFonts w:ascii="Arial" w:eastAsia="Arial" w:hAnsi="Arial" w:cs="Arial"/>
          <w:color w:val="000000"/>
          <w:sz w:val="20"/>
          <w:szCs w:val="20"/>
        </w:rPr>
        <w:t xml:space="preserve"> Rice, </w:t>
      </w:r>
      <w:proofErr w:type="spellStart"/>
      <w:r>
        <w:rPr>
          <w:rFonts w:ascii="Arial" w:eastAsia="Arial" w:hAnsi="Arial" w:cs="Arial"/>
          <w:color w:val="000000"/>
          <w:sz w:val="20"/>
          <w:szCs w:val="20"/>
        </w:rPr>
        <w:t>Kitaake</w:t>
      </w:r>
      <w:r w:rsidR="005924A0">
        <w:rPr>
          <w:rFonts w:ascii="Arial" w:eastAsia="Arial" w:hAnsi="Arial" w:cs="Arial"/>
          <w:color w:val="000000"/>
          <w:sz w:val="20"/>
          <w:szCs w:val="20"/>
        </w:rPr>
        <w:t>X</w:t>
      </w:r>
      <w:proofErr w:type="spellEnd"/>
      <w:r>
        <w:rPr>
          <w:rFonts w:ascii="Arial" w:eastAsia="Arial" w:hAnsi="Arial" w:cs="Arial"/>
          <w:color w:val="000000"/>
          <w:sz w:val="20"/>
          <w:szCs w:val="20"/>
        </w:rPr>
        <w:t>, BAC libraries</w:t>
      </w:r>
    </w:p>
    <w:p w:rsidR="00B4406B" w:rsidRDefault="00B4406B">
      <w:pPr>
        <w:rPr>
          <w:rFonts w:ascii="Arial" w:eastAsia="Arial" w:hAnsi="Arial" w:cs="Arial"/>
          <w:color w:val="000000"/>
          <w:sz w:val="20"/>
          <w:szCs w:val="20"/>
        </w:rPr>
      </w:pPr>
    </w:p>
    <w:p w:rsidR="00B4406B" w:rsidRDefault="00B4406B">
      <w:pPr>
        <w:rPr>
          <w:rFonts w:ascii="Arial" w:eastAsia="Arial" w:hAnsi="Arial" w:cs="Arial"/>
          <w:color w:val="000000"/>
          <w:sz w:val="20"/>
          <w:szCs w:val="20"/>
        </w:rPr>
      </w:pPr>
    </w:p>
    <w:p w:rsidR="00B4406B" w:rsidRDefault="00B4406B">
      <w:pPr>
        <w:rPr>
          <w:rFonts w:ascii="Arial" w:eastAsia="Arial" w:hAnsi="Arial" w:cs="Arial"/>
          <w:color w:val="000000"/>
          <w:sz w:val="20"/>
          <w:szCs w:val="20"/>
        </w:rPr>
      </w:pPr>
    </w:p>
    <w:p w:rsidR="00B4406B" w:rsidRDefault="00B4406B" w:rsidP="008C63F5">
      <w:pPr>
        <w:pBdr>
          <w:top w:val="nil"/>
          <w:left w:val="nil"/>
          <w:bottom w:val="nil"/>
          <w:right w:val="nil"/>
          <w:between w:val="nil"/>
        </w:pBdr>
        <w:spacing w:line="276" w:lineRule="auto"/>
        <w:rPr>
          <w:rFonts w:ascii="Arial" w:eastAsia="Arial" w:hAnsi="Arial" w:cs="Arial"/>
          <w:color w:val="000000"/>
          <w:sz w:val="22"/>
          <w:szCs w:val="22"/>
        </w:rPr>
      </w:pPr>
    </w:p>
    <w:p w:rsidR="00B4406B" w:rsidRDefault="00B4406B">
      <w:pPr>
        <w:spacing w:line="276" w:lineRule="auto"/>
        <w:ind w:left="720" w:hanging="720"/>
        <w:jc w:val="both"/>
        <w:rPr>
          <w:color w:val="000000"/>
          <w:sz w:val="22"/>
          <w:szCs w:val="22"/>
        </w:rPr>
      </w:pPr>
    </w:p>
    <w:p w:rsidR="00351C38" w:rsidRDefault="00351C38">
      <w:pPr>
        <w:spacing w:line="276" w:lineRule="auto"/>
        <w:jc w:val="both"/>
        <w:rPr>
          <w:color w:val="000000"/>
        </w:rPr>
      </w:pPr>
    </w:p>
    <w:p w:rsidR="00351C38" w:rsidRDefault="00351C38">
      <w:pPr>
        <w:spacing w:line="276" w:lineRule="auto"/>
        <w:jc w:val="both"/>
        <w:rPr>
          <w:color w:val="000000"/>
        </w:rPr>
      </w:pPr>
    </w:p>
    <w:p w:rsidR="00753B73" w:rsidRPr="00753B73" w:rsidRDefault="00351C38" w:rsidP="00753B73">
      <w:pPr>
        <w:pStyle w:val="EndNoteBibliographyTitle"/>
        <w:rPr>
          <w:noProof/>
        </w:rPr>
      </w:pPr>
      <w:r>
        <w:rPr>
          <w:color w:val="000000"/>
        </w:rPr>
        <w:fldChar w:fldCharType="begin"/>
      </w:r>
      <w:r>
        <w:rPr>
          <w:color w:val="000000"/>
        </w:rPr>
        <w:instrText xml:space="preserve"> ADDIN EN.REFLIST </w:instrText>
      </w:r>
      <w:r>
        <w:rPr>
          <w:color w:val="000000"/>
        </w:rPr>
        <w:fldChar w:fldCharType="separate"/>
      </w:r>
      <w:r w:rsidR="00753B73" w:rsidRPr="00753B73">
        <w:rPr>
          <w:noProof/>
        </w:rPr>
        <w:t>References for Section A</w:t>
      </w:r>
    </w:p>
    <w:p w:rsidR="00753B73" w:rsidRPr="00753B73" w:rsidRDefault="00753B73" w:rsidP="00753B73">
      <w:pPr>
        <w:pStyle w:val="EndNoteBibliographyTitle"/>
        <w:rPr>
          <w:noProof/>
        </w:rPr>
      </w:pPr>
    </w:p>
    <w:p w:rsidR="00753B73" w:rsidRPr="00753B73" w:rsidRDefault="00753B73" w:rsidP="00753B73">
      <w:pPr>
        <w:pStyle w:val="EndNoteBibliography"/>
        <w:ind w:left="720" w:hanging="720"/>
        <w:rPr>
          <w:noProof/>
        </w:rPr>
      </w:pPr>
      <w:r w:rsidRPr="00753B73">
        <w:rPr>
          <w:noProof/>
        </w:rPr>
        <w:t>1.</w:t>
      </w:r>
      <w:r w:rsidRPr="00753B73">
        <w:rPr>
          <w:noProof/>
        </w:rPr>
        <w:tab/>
        <w:t xml:space="preserve">Mohr DW, Naguib A, Weisenfeld NI, Kumar V, Shah P, Church DM, Jaffe D, Scott AF: </w:t>
      </w:r>
      <w:r w:rsidRPr="00753B73">
        <w:rPr>
          <w:b/>
          <w:noProof/>
        </w:rPr>
        <w:t>Improved &amp;lt;em&amp;gt;de novo&amp;lt;/em&amp;gt; Genome Assembly: Linked-Read Sequencing Combined with Optical Mapping Produce a High Quality Mammalian Genome at Relatively Low Cost.</w:t>
      </w:r>
      <w:r w:rsidRPr="00753B73">
        <w:rPr>
          <w:noProof/>
        </w:rPr>
        <w:t xml:space="preserve"> </w:t>
      </w:r>
      <w:r w:rsidRPr="00753B73">
        <w:rPr>
          <w:i/>
          <w:noProof/>
        </w:rPr>
        <w:t xml:space="preserve">bioRxiv </w:t>
      </w:r>
      <w:r w:rsidRPr="00753B73">
        <w:rPr>
          <w:noProof/>
        </w:rPr>
        <w:t>2017</w:t>
      </w:r>
      <w:r w:rsidRPr="00753B73">
        <w:rPr>
          <w:b/>
          <w:noProof/>
        </w:rPr>
        <w:t>:</w:t>
      </w:r>
      <w:r w:rsidRPr="00753B73">
        <w:rPr>
          <w:noProof/>
        </w:rPr>
        <w:t>128348.</w:t>
      </w:r>
    </w:p>
    <w:p w:rsidR="00753B73" w:rsidRPr="00753B73" w:rsidRDefault="00753B73" w:rsidP="00753B73">
      <w:pPr>
        <w:pStyle w:val="EndNoteBibliography"/>
        <w:ind w:left="720" w:hanging="720"/>
        <w:rPr>
          <w:noProof/>
        </w:rPr>
      </w:pPr>
      <w:r w:rsidRPr="00753B73">
        <w:rPr>
          <w:noProof/>
        </w:rPr>
        <w:t>2.</w:t>
      </w:r>
      <w:r w:rsidRPr="00753B73">
        <w:rPr>
          <w:noProof/>
        </w:rPr>
        <w:tab/>
        <w:t xml:space="preserve">Xiao CL, Chen Y, Xie SQ, Chen KN, Wang Y, Han Y, Luo F, Xie Z: </w:t>
      </w:r>
      <w:r w:rsidRPr="00753B73">
        <w:rPr>
          <w:b/>
          <w:noProof/>
        </w:rPr>
        <w:t>MECAT: fast mapping, error correction, and de novo assembly for single-molecule sequencing reads.</w:t>
      </w:r>
      <w:r w:rsidRPr="00753B73">
        <w:rPr>
          <w:noProof/>
        </w:rPr>
        <w:t xml:space="preserve"> </w:t>
      </w:r>
      <w:r w:rsidRPr="00753B73">
        <w:rPr>
          <w:i/>
          <w:noProof/>
        </w:rPr>
        <w:t xml:space="preserve">Nat Methods </w:t>
      </w:r>
      <w:r w:rsidRPr="00753B73">
        <w:rPr>
          <w:noProof/>
        </w:rPr>
        <w:t xml:space="preserve">2017, </w:t>
      </w:r>
      <w:r w:rsidRPr="00753B73">
        <w:rPr>
          <w:b/>
          <w:noProof/>
        </w:rPr>
        <w:t>14:</w:t>
      </w:r>
      <w:r w:rsidRPr="00753B73">
        <w:rPr>
          <w:noProof/>
        </w:rPr>
        <w:t>1072-1074.</w:t>
      </w:r>
    </w:p>
    <w:p w:rsidR="00753B73" w:rsidRPr="00753B73" w:rsidRDefault="00753B73" w:rsidP="00753B73">
      <w:pPr>
        <w:pStyle w:val="EndNoteBibliography"/>
        <w:ind w:left="720" w:hanging="720"/>
        <w:rPr>
          <w:noProof/>
        </w:rPr>
      </w:pPr>
      <w:r w:rsidRPr="00753B73">
        <w:rPr>
          <w:noProof/>
        </w:rPr>
        <w:t>3.</w:t>
      </w:r>
      <w:r w:rsidRPr="00753B73">
        <w:rPr>
          <w:noProof/>
        </w:rPr>
        <w:tab/>
        <w:t xml:space="preserve">Chin CS, Alexander DH, Marks P, Klammer AA, Drake J, Heiner C, Clum A, Copeland A, Huddleston J, Eichler EE, et al: </w:t>
      </w:r>
      <w:r w:rsidRPr="00753B73">
        <w:rPr>
          <w:b/>
          <w:noProof/>
        </w:rPr>
        <w:t>Nonhybrid, finished microbial genome assemblies from long-read SMRT sequencing data.</w:t>
      </w:r>
      <w:r w:rsidRPr="00753B73">
        <w:rPr>
          <w:noProof/>
        </w:rPr>
        <w:t xml:space="preserve"> </w:t>
      </w:r>
      <w:r w:rsidRPr="00753B73">
        <w:rPr>
          <w:i/>
          <w:noProof/>
        </w:rPr>
        <w:t xml:space="preserve">Nat Methods </w:t>
      </w:r>
      <w:r w:rsidRPr="00753B73">
        <w:rPr>
          <w:noProof/>
        </w:rPr>
        <w:t xml:space="preserve">2013, </w:t>
      </w:r>
      <w:r w:rsidRPr="00753B73">
        <w:rPr>
          <w:b/>
          <w:noProof/>
        </w:rPr>
        <w:t>10:</w:t>
      </w:r>
      <w:r w:rsidRPr="00753B73">
        <w:rPr>
          <w:noProof/>
        </w:rPr>
        <w:t>563-569.</w:t>
      </w:r>
    </w:p>
    <w:p w:rsidR="00753B73" w:rsidRPr="00753B73" w:rsidRDefault="00753B73" w:rsidP="00753B73">
      <w:pPr>
        <w:pStyle w:val="EndNoteBibliography"/>
        <w:ind w:left="720" w:hanging="720"/>
        <w:rPr>
          <w:noProof/>
        </w:rPr>
      </w:pPr>
      <w:r w:rsidRPr="00753B73">
        <w:rPr>
          <w:noProof/>
        </w:rPr>
        <w:t>4.</w:t>
      </w:r>
      <w:r w:rsidRPr="00753B73">
        <w:rPr>
          <w:noProof/>
        </w:rPr>
        <w:tab/>
        <w:t xml:space="preserve">Boetzer M, Henkel CV, Jansen HJ, Butler D, Pirovano W: </w:t>
      </w:r>
      <w:r w:rsidRPr="00753B73">
        <w:rPr>
          <w:b/>
          <w:noProof/>
        </w:rPr>
        <w:t>Scaffolding pre-assembled contigs using SSPACE.</w:t>
      </w:r>
      <w:r w:rsidRPr="00753B73">
        <w:rPr>
          <w:noProof/>
        </w:rPr>
        <w:t xml:space="preserve"> </w:t>
      </w:r>
      <w:r w:rsidRPr="00753B73">
        <w:rPr>
          <w:i/>
          <w:noProof/>
        </w:rPr>
        <w:t xml:space="preserve">Bioinformatics </w:t>
      </w:r>
      <w:r w:rsidRPr="00753B73">
        <w:rPr>
          <w:noProof/>
        </w:rPr>
        <w:t xml:space="preserve">2011, </w:t>
      </w:r>
      <w:r w:rsidRPr="00753B73">
        <w:rPr>
          <w:b/>
          <w:noProof/>
        </w:rPr>
        <w:t>27:</w:t>
      </w:r>
      <w:r w:rsidRPr="00753B73">
        <w:rPr>
          <w:noProof/>
        </w:rPr>
        <w:t>578-579.</w:t>
      </w:r>
    </w:p>
    <w:p w:rsidR="00753B73" w:rsidRPr="00753B73" w:rsidRDefault="00753B73" w:rsidP="00753B73">
      <w:pPr>
        <w:pStyle w:val="EndNoteBibliography"/>
        <w:ind w:left="720" w:hanging="720"/>
        <w:rPr>
          <w:noProof/>
        </w:rPr>
      </w:pPr>
      <w:r w:rsidRPr="00753B73">
        <w:rPr>
          <w:noProof/>
        </w:rPr>
        <w:t>5.</w:t>
      </w:r>
      <w:r w:rsidRPr="00753B73">
        <w:rPr>
          <w:noProof/>
        </w:rPr>
        <w:tab/>
        <w:t xml:space="preserve">McKenna A, Hanna M, Banks E, Sivachenko A, Cibulskis K, Kernytsky A, Garimella K, Altshuler D, Gabriel S, Daly M, DePristo MA: </w:t>
      </w:r>
      <w:r w:rsidRPr="00753B73">
        <w:rPr>
          <w:b/>
          <w:noProof/>
        </w:rPr>
        <w:t>The Genome Analysis Toolkit: a MapReduce framework for analyzing next-generation DNA sequencing data.</w:t>
      </w:r>
      <w:r w:rsidRPr="00753B73">
        <w:rPr>
          <w:noProof/>
        </w:rPr>
        <w:t xml:space="preserve"> </w:t>
      </w:r>
      <w:r w:rsidRPr="00753B73">
        <w:rPr>
          <w:i/>
          <w:noProof/>
        </w:rPr>
        <w:t xml:space="preserve">Genome Res </w:t>
      </w:r>
      <w:r w:rsidRPr="00753B73">
        <w:rPr>
          <w:noProof/>
        </w:rPr>
        <w:t xml:space="preserve">2010, </w:t>
      </w:r>
      <w:r w:rsidRPr="00753B73">
        <w:rPr>
          <w:b/>
          <w:noProof/>
        </w:rPr>
        <w:t>20:</w:t>
      </w:r>
      <w:r w:rsidRPr="00753B73">
        <w:rPr>
          <w:noProof/>
        </w:rPr>
        <w:t>1297-1303.</w:t>
      </w:r>
    </w:p>
    <w:p w:rsidR="00753B73" w:rsidRPr="00753B73" w:rsidRDefault="00753B73" w:rsidP="00753B73">
      <w:pPr>
        <w:pStyle w:val="EndNoteBibliography"/>
        <w:ind w:left="720" w:hanging="720"/>
        <w:rPr>
          <w:noProof/>
        </w:rPr>
      </w:pPr>
      <w:r w:rsidRPr="00753B73">
        <w:rPr>
          <w:noProof/>
        </w:rPr>
        <w:t>6.</w:t>
      </w:r>
      <w:r w:rsidRPr="00753B73">
        <w:rPr>
          <w:noProof/>
        </w:rPr>
        <w:tab/>
        <w:t xml:space="preserve">Kent WJ: </w:t>
      </w:r>
      <w:r w:rsidRPr="00753B73">
        <w:rPr>
          <w:b/>
          <w:noProof/>
        </w:rPr>
        <w:t>BLAT--the BLAST-like alignment tool.</w:t>
      </w:r>
      <w:r w:rsidRPr="00753B73">
        <w:rPr>
          <w:noProof/>
        </w:rPr>
        <w:t xml:space="preserve"> </w:t>
      </w:r>
      <w:r w:rsidRPr="00753B73">
        <w:rPr>
          <w:i/>
          <w:noProof/>
        </w:rPr>
        <w:t xml:space="preserve">Genome Res </w:t>
      </w:r>
      <w:r w:rsidRPr="00753B73">
        <w:rPr>
          <w:noProof/>
        </w:rPr>
        <w:t xml:space="preserve">2002, </w:t>
      </w:r>
      <w:r w:rsidRPr="00753B73">
        <w:rPr>
          <w:b/>
          <w:noProof/>
        </w:rPr>
        <w:t>12:</w:t>
      </w:r>
      <w:r w:rsidRPr="00753B73">
        <w:rPr>
          <w:noProof/>
        </w:rPr>
        <w:t>656-664.</w:t>
      </w:r>
    </w:p>
    <w:p w:rsidR="00753B73" w:rsidRPr="00753B73" w:rsidRDefault="00753B73" w:rsidP="00753B73">
      <w:pPr>
        <w:pStyle w:val="EndNoteBibliography"/>
        <w:ind w:left="720" w:hanging="720"/>
        <w:rPr>
          <w:noProof/>
        </w:rPr>
      </w:pPr>
      <w:r w:rsidRPr="00753B73">
        <w:rPr>
          <w:noProof/>
        </w:rPr>
        <w:t>7.</w:t>
      </w:r>
      <w:r w:rsidRPr="00753B73">
        <w:rPr>
          <w:noProof/>
        </w:rPr>
        <w:tab/>
        <w:t xml:space="preserve">Krumsiek J, Arnold R, Rattei T: </w:t>
      </w:r>
      <w:r w:rsidRPr="00753B73">
        <w:rPr>
          <w:b/>
          <w:noProof/>
        </w:rPr>
        <w:t>Gepard: a rapid and sensitive tool for creating dotplots on genome scale.</w:t>
      </w:r>
      <w:r w:rsidRPr="00753B73">
        <w:rPr>
          <w:noProof/>
        </w:rPr>
        <w:t xml:space="preserve"> </w:t>
      </w:r>
      <w:r w:rsidRPr="00753B73">
        <w:rPr>
          <w:i/>
          <w:noProof/>
        </w:rPr>
        <w:t xml:space="preserve">Bioinformatics </w:t>
      </w:r>
      <w:r w:rsidRPr="00753B73">
        <w:rPr>
          <w:noProof/>
        </w:rPr>
        <w:t xml:space="preserve">2007, </w:t>
      </w:r>
      <w:r w:rsidRPr="00753B73">
        <w:rPr>
          <w:b/>
          <w:noProof/>
        </w:rPr>
        <w:t>23:</w:t>
      </w:r>
      <w:r w:rsidRPr="00753B73">
        <w:rPr>
          <w:noProof/>
        </w:rPr>
        <w:t>1026-1028.</w:t>
      </w:r>
    </w:p>
    <w:p w:rsidR="00753B73" w:rsidRPr="00753B73" w:rsidRDefault="00753B73" w:rsidP="00753B73">
      <w:pPr>
        <w:pStyle w:val="EndNoteBibliography"/>
        <w:ind w:left="720" w:hanging="720"/>
        <w:rPr>
          <w:noProof/>
        </w:rPr>
      </w:pPr>
      <w:r w:rsidRPr="00753B73">
        <w:rPr>
          <w:noProof/>
        </w:rPr>
        <w:t>8.</w:t>
      </w:r>
      <w:r w:rsidRPr="00753B73">
        <w:rPr>
          <w:noProof/>
        </w:rPr>
        <w:tab/>
        <w:t xml:space="preserve">Luo M, Wing RA: </w:t>
      </w:r>
      <w:r w:rsidRPr="00753B73">
        <w:rPr>
          <w:b/>
          <w:noProof/>
        </w:rPr>
        <w:t>An improved method for plant BAC library construction.</w:t>
      </w:r>
      <w:r w:rsidRPr="00753B73">
        <w:rPr>
          <w:noProof/>
        </w:rPr>
        <w:t xml:space="preserve"> </w:t>
      </w:r>
      <w:r w:rsidRPr="00753B73">
        <w:rPr>
          <w:i/>
          <w:noProof/>
        </w:rPr>
        <w:t xml:space="preserve">Methods Mol Biol </w:t>
      </w:r>
      <w:r w:rsidRPr="00753B73">
        <w:rPr>
          <w:noProof/>
        </w:rPr>
        <w:t xml:space="preserve">2003, </w:t>
      </w:r>
      <w:r w:rsidRPr="00753B73">
        <w:rPr>
          <w:b/>
          <w:noProof/>
        </w:rPr>
        <w:t>236:</w:t>
      </w:r>
      <w:r w:rsidRPr="00753B73">
        <w:rPr>
          <w:noProof/>
        </w:rPr>
        <w:t>3-20.</w:t>
      </w:r>
    </w:p>
    <w:p w:rsidR="00753B73" w:rsidRPr="00753B73" w:rsidRDefault="00753B73" w:rsidP="00753B73">
      <w:pPr>
        <w:pStyle w:val="EndNoteBibliography"/>
        <w:ind w:left="720" w:hanging="720"/>
        <w:rPr>
          <w:noProof/>
        </w:rPr>
      </w:pPr>
      <w:r w:rsidRPr="00753B73">
        <w:rPr>
          <w:noProof/>
        </w:rPr>
        <w:t>9.</w:t>
      </w:r>
      <w:r w:rsidRPr="00753B73">
        <w:rPr>
          <w:noProof/>
        </w:rPr>
        <w:tab/>
        <w:t xml:space="preserve">Ammiraju JS, Luo M, Goicoechea JL, Wang W, Kudrna D, Mueller C, Talag J, Kim H, Sisneros NB, Blackmon B, et al: </w:t>
      </w:r>
      <w:r w:rsidRPr="00753B73">
        <w:rPr>
          <w:b/>
          <w:noProof/>
        </w:rPr>
        <w:t>The Oryza bacterial artificial chromosome library resource: construction and analysis of 12 deep-coverage large-insert BAC libraries that represent the 10 genome types of the genus Oryza.</w:t>
      </w:r>
      <w:r w:rsidRPr="00753B73">
        <w:rPr>
          <w:noProof/>
        </w:rPr>
        <w:t xml:space="preserve"> </w:t>
      </w:r>
      <w:r w:rsidRPr="00753B73">
        <w:rPr>
          <w:i/>
          <w:noProof/>
        </w:rPr>
        <w:t xml:space="preserve">Genome Res </w:t>
      </w:r>
      <w:r w:rsidRPr="00753B73">
        <w:rPr>
          <w:noProof/>
        </w:rPr>
        <w:t xml:space="preserve">2006, </w:t>
      </w:r>
      <w:r w:rsidRPr="00753B73">
        <w:rPr>
          <w:b/>
          <w:noProof/>
        </w:rPr>
        <w:t>16:</w:t>
      </w:r>
      <w:r w:rsidRPr="00753B73">
        <w:rPr>
          <w:noProof/>
        </w:rPr>
        <w:t>140-147.</w:t>
      </w:r>
    </w:p>
    <w:p w:rsidR="00B4406B" w:rsidRDefault="00351C38">
      <w:pPr>
        <w:spacing w:line="276" w:lineRule="auto"/>
        <w:jc w:val="both"/>
        <w:rPr>
          <w:color w:val="000000"/>
        </w:rPr>
      </w:pPr>
      <w:r>
        <w:rPr>
          <w:color w:val="000000"/>
        </w:rPr>
        <w:fldChar w:fldCharType="end"/>
      </w:r>
    </w:p>
    <w:sectPr w:rsidR="00B4406B">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Times New Roman&lt;/FontName&gt;&lt;FontSize&gt;12&lt;/FontSize&gt;&lt;ReflistTitle&gt;References for Section A&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srwft9590ax8eezw95xptb99t9wssfpwva&quot;&gt;pgrp2018-references&lt;record-ids&gt;&lt;item&gt;204&lt;/item&gt;&lt;item&gt;205&lt;/item&gt;&lt;item&gt;206&lt;/item&gt;&lt;item&gt;207&lt;/item&gt;&lt;item&gt;217&lt;/item&gt;&lt;item&gt;240&lt;/item&gt;&lt;item&gt;330&lt;/item&gt;&lt;item&gt;421&lt;/item&gt;&lt;item&gt;425&lt;/item&gt;&lt;item&gt;426&lt;/item&gt;&lt;/record-ids&gt;&lt;/item&gt;&lt;/Libraries&gt;"/>
  </w:docVars>
  <w:rsids>
    <w:rsidRoot w:val="00B4406B"/>
    <w:rsid w:val="00002975"/>
    <w:rsid w:val="000F7AC3"/>
    <w:rsid w:val="00351C38"/>
    <w:rsid w:val="0040333E"/>
    <w:rsid w:val="004A19F0"/>
    <w:rsid w:val="005924A0"/>
    <w:rsid w:val="00753B73"/>
    <w:rsid w:val="007D59B9"/>
    <w:rsid w:val="00836EFF"/>
    <w:rsid w:val="008C63F5"/>
    <w:rsid w:val="00920D24"/>
    <w:rsid w:val="00956DA4"/>
    <w:rsid w:val="00B25AB9"/>
    <w:rsid w:val="00B4406B"/>
    <w:rsid w:val="00C36DC1"/>
    <w:rsid w:val="00D65240"/>
    <w:rsid w:val="00DA5526"/>
    <w:rsid w:val="00F0376A"/>
    <w:rsid w:val="00FA22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BCDC9"/>
  <w15:docId w15:val="{F9E8C965-BF95-534F-8F90-01D34609D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rFonts w:ascii="Calibri" w:eastAsia="Calibri" w:hAnsi="Calibri" w:cs="Calibri"/>
      <w:color w:val="366091"/>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5924A0"/>
    <w:rPr>
      <w:sz w:val="18"/>
      <w:szCs w:val="18"/>
    </w:rPr>
  </w:style>
  <w:style w:type="character" w:customStyle="1" w:styleId="BalloonTextChar">
    <w:name w:val="Balloon Text Char"/>
    <w:basedOn w:val="DefaultParagraphFont"/>
    <w:link w:val="BalloonText"/>
    <w:uiPriority w:val="99"/>
    <w:semiHidden/>
    <w:rsid w:val="005924A0"/>
    <w:rPr>
      <w:sz w:val="18"/>
      <w:szCs w:val="18"/>
    </w:rPr>
  </w:style>
  <w:style w:type="paragraph" w:customStyle="1" w:styleId="EndNoteBibliographyTitle">
    <w:name w:val="EndNote Bibliography Title"/>
    <w:basedOn w:val="Normal"/>
    <w:link w:val="EndNoteBibliographyTitleChar"/>
    <w:rsid w:val="00351C38"/>
    <w:pPr>
      <w:jc w:val="center"/>
    </w:pPr>
  </w:style>
  <w:style w:type="character" w:customStyle="1" w:styleId="EndNoteBibliographyTitleChar">
    <w:name w:val="EndNote Bibliography Title Char"/>
    <w:basedOn w:val="DefaultParagraphFont"/>
    <w:link w:val="EndNoteBibliographyTitle"/>
    <w:rsid w:val="00351C38"/>
  </w:style>
  <w:style w:type="paragraph" w:customStyle="1" w:styleId="EndNoteBibliography">
    <w:name w:val="EndNote Bibliography"/>
    <w:basedOn w:val="Normal"/>
    <w:link w:val="EndNoteBibliographyChar"/>
    <w:rsid w:val="00351C38"/>
    <w:pPr>
      <w:jc w:val="both"/>
    </w:pPr>
  </w:style>
  <w:style w:type="character" w:customStyle="1" w:styleId="EndNoteBibliographyChar">
    <w:name w:val="EndNote Bibliography Char"/>
    <w:basedOn w:val="DefaultParagraphFont"/>
    <w:link w:val="EndNoteBibliography"/>
    <w:rsid w:val="00351C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22</Pages>
  <Words>5243</Words>
  <Characters>29890</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Rashmi Jain</cp:lastModifiedBy>
  <cp:revision>13</cp:revision>
  <dcterms:created xsi:type="dcterms:W3CDTF">2019-05-13T20:42:00Z</dcterms:created>
  <dcterms:modified xsi:type="dcterms:W3CDTF">2019-06-07T19:13:00Z</dcterms:modified>
</cp:coreProperties>
</file>