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8B1B65" w14:textId="77777777" w:rsidR="00C67648" w:rsidRPr="00A311DD" w:rsidRDefault="00C67648" w:rsidP="00C67648">
      <w:pPr>
        <w:pStyle w:val="Heading2"/>
        <w:spacing w:before="120"/>
      </w:pPr>
      <w:r w:rsidRPr="00A311DD">
        <w:t>Data analysis</w:t>
      </w:r>
    </w:p>
    <w:p w14:paraId="40A6AD42" w14:textId="77777777" w:rsidR="00C67648" w:rsidRPr="00A311DD" w:rsidRDefault="00C67648" w:rsidP="00C67648">
      <w:pPr>
        <w:adjustRightInd w:val="0"/>
        <w:snapToGrid w:val="0"/>
        <w:spacing w:afterLines="50" w:after="120"/>
        <w:rPr>
          <w:sz w:val="22"/>
          <w:szCs w:val="22"/>
        </w:rPr>
      </w:pPr>
      <w:r w:rsidRPr="00A311DD">
        <w:rPr>
          <w:sz w:val="22"/>
          <w:szCs w:val="22"/>
        </w:rPr>
        <w:t xml:space="preserve">To make the antibiotic sales data </w:t>
      </w:r>
      <w:r>
        <w:rPr>
          <w:sz w:val="22"/>
          <w:szCs w:val="22"/>
        </w:rPr>
        <w:t>consistent with the</w:t>
      </w:r>
      <w:r w:rsidRPr="00A311DD">
        <w:rPr>
          <w:sz w:val="22"/>
          <w:szCs w:val="22"/>
        </w:rPr>
        <w:t xml:space="preserve"> international </w:t>
      </w:r>
      <w:r>
        <w:rPr>
          <w:sz w:val="22"/>
          <w:szCs w:val="22"/>
        </w:rPr>
        <w:t>standards</w:t>
      </w:r>
      <w:r w:rsidRPr="00A311DD">
        <w:rPr>
          <w:sz w:val="22"/>
          <w:szCs w:val="22"/>
        </w:rPr>
        <w:t xml:space="preserve">, the data were converted into DDD per 1,000 inhabitants per day (DID) at the level of the active substance. Based on the following two assumptions, equation1 was adopted to calculate the weighted population as a proxy for the population our sample hospitals had covered. </w:t>
      </w:r>
      <w:r>
        <w:rPr>
          <w:sz w:val="22"/>
          <w:szCs w:val="22"/>
        </w:rPr>
        <w:t>The f</w:t>
      </w:r>
      <w:r w:rsidRPr="00A311DD">
        <w:rPr>
          <w:sz w:val="22"/>
          <w:szCs w:val="22"/>
        </w:rPr>
        <w:t>irst</w:t>
      </w:r>
      <w:r>
        <w:rPr>
          <w:sz w:val="22"/>
          <w:szCs w:val="22"/>
        </w:rPr>
        <w:t xml:space="preserve"> assumption is that</w:t>
      </w:r>
      <w:r w:rsidRPr="00A311DD">
        <w:rPr>
          <w:sz w:val="22"/>
          <w:szCs w:val="22"/>
        </w:rPr>
        <w:t xml:space="preserve"> there was no significant difference in the distribution of the sample hospitals across the provinces; second, there was no significant difference in the distribution of the population which was covered by the sample hospitals across the provinces. To avoid bias in calculating inhabitants, the inhabitants</w:t>
      </w:r>
      <w:r>
        <w:rPr>
          <w:sz w:val="22"/>
          <w:szCs w:val="22"/>
        </w:rPr>
        <w:t>’</w:t>
      </w:r>
      <w:r w:rsidRPr="00A311DD">
        <w:rPr>
          <w:sz w:val="22"/>
          <w:szCs w:val="22"/>
        </w:rPr>
        <w:t xml:space="preserve"> </w:t>
      </w:r>
      <w:r>
        <w:rPr>
          <w:sz w:val="22"/>
          <w:szCs w:val="22"/>
        </w:rPr>
        <w:t xml:space="preserve">coverage </w:t>
      </w:r>
      <w:proofErr w:type="gramStart"/>
      <w:r w:rsidRPr="00A311DD">
        <w:rPr>
          <w:sz w:val="22"/>
          <w:szCs w:val="22"/>
        </w:rPr>
        <w:t>were</w:t>
      </w:r>
      <w:proofErr w:type="gramEnd"/>
      <w:r w:rsidRPr="00A311DD">
        <w:rPr>
          <w:sz w:val="22"/>
          <w:szCs w:val="22"/>
        </w:rPr>
        <w:t xml:space="preserve"> calculated together </w:t>
      </w:r>
      <w:r>
        <w:rPr>
          <w:sz w:val="22"/>
          <w:szCs w:val="22"/>
        </w:rPr>
        <w:t>for</w:t>
      </w:r>
      <w:r w:rsidRPr="00A311DD">
        <w:rPr>
          <w:sz w:val="22"/>
          <w:szCs w:val="22"/>
        </w:rPr>
        <w:t xml:space="preserve"> outpatient and inpatient</w:t>
      </w:r>
      <w:r>
        <w:rPr>
          <w:sz w:val="22"/>
          <w:szCs w:val="22"/>
        </w:rPr>
        <w:t>, instead</w:t>
      </w:r>
      <w:r w:rsidRPr="00A311DD">
        <w:rPr>
          <w:sz w:val="22"/>
          <w:szCs w:val="22"/>
        </w:rPr>
        <w:t xml:space="preserve"> of separate</w:t>
      </w:r>
      <w:r>
        <w:rPr>
          <w:sz w:val="22"/>
          <w:szCs w:val="22"/>
        </w:rPr>
        <w:t xml:space="preserve"> calculation</w:t>
      </w:r>
      <w:r w:rsidRPr="00A311DD">
        <w:rPr>
          <w:sz w:val="22"/>
          <w:szCs w:val="22"/>
        </w:rPr>
        <w:t xml:space="preserve"> as we did before [14].</w:t>
      </w:r>
      <w:r w:rsidRPr="00A311DD">
        <w:rPr>
          <w:sz w:val="22"/>
          <w:szCs w:val="22"/>
          <w:vertAlign w:val="superscript"/>
        </w:rPr>
        <w:t xml:space="preserve"> </w:t>
      </w:r>
      <w:r>
        <w:rPr>
          <w:sz w:val="22"/>
          <w:szCs w:val="22"/>
        </w:rPr>
        <w:t>The i</w:t>
      </w:r>
      <w:r w:rsidRPr="00CD1AF9">
        <w:rPr>
          <w:sz w:val="22"/>
          <w:szCs w:val="22"/>
        </w:rPr>
        <w:t>nhabitant</w:t>
      </w:r>
      <w:r w:rsidRPr="009B6FA4">
        <w:rPr>
          <w:sz w:val="22"/>
          <w:szCs w:val="22"/>
        </w:rPr>
        <w:t>s</w:t>
      </w:r>
      <w:r>
        <w:rPr>
          <w:sz w:val="22"/>
          <w:szCs w:val="22"/>
        </w:rPr>
        <w:t>’</w:t>
      </w:r>
      <w:r w:rsidRPr="00CD1AF9">
        <w:rPr>
          <w:sz w:val="22"/>
          <w:szCs w:val="22"/>
        </w:rPr>
        <w:t xml:space="preserve"> </w:t>
      </w:r>
      <w:r w:rsidRPr="009B6FA4">
        <w:rPr>
          <w:sz w:val="22"/>
          <w:szCs w:val="22"/>
        </w:rPr>
        <w:t>coverage for secondary</w:t>
      </w:r>
      <w:r w:rsidRPr="000E06E2">
        <w:rPr>
          <w:sz w:val="22"/>
          <w:szCs w:val="22"/>
        </w:rPr>
        <w:t xml:space="preserve"> and tertiary hospitals were calculated separately.</w:t>
      </w:r>
    </w:p>
    <w:p w14:paraId="5551A653" w14:textId="77777777" w:rsidR="00C67648" w:rsidRPr="00A311DD" w:rsidRDefault="00C67648" w:rsidP="00C67648">
      <w:pPr>
        <w:adjustRightInd w:val="0"/>
        <w:snapToGrid w:val="0"/>
        <w:spacing w:afterLines="50" w:after="120"/>
        <w:rPr>
          <w:sz w:val="22"/>
          <w:szCs w:val="22"/>
        </w:rPr>
      </w:pPr>
      <m:oMath>
        <m:sSub>
          <m:sSubPr>
            <m:ctrlPr>
              <w:rPr>
                <w:rFonts w:ascii="Cambria Math" w:hAnsi="Cambria Math"/>
                <w:sz w:val="22"/>
                <w:szCs w:val="22"/>
              </w:rPr>
            </m:ctrlPr>
          </m:sSubPr>
          <m:e>
            <m:r>
              <w:rPr>
                <w:rFonts w:ascii="Cambria Math" w:hAnsi="Cambria Math"/>
                <w:sz w:val="22"/>
                <w:szCs w:val="22"/>
              </w:rPr>
              <m:t>Y</m:t>
            </m:r>
          </m:e>
          <m:sub>
            <m:r>
              <w:rPr>
                <w:rFonts w:ascii="Cambria Math" w:hAnsi="Cambria Math"/>
                <w:sz w:val="22"/>
                <w:szCs w:val="22"/>
              </w:rPr>
              <m:t>i</m:t>
            </m:r>
          </m:sub>
        </m:sSub>
        <m:r>
          <m:rPr>
            <m:sty m:val="p"/>
          </m:rPr>
          <w:rPr>
            <w:rFonts w:ascii="Cambria Math" w:hAnsi="Cambria Math"/>
            <w:sz w:val="22"/>
            <w:szCs w:val="22"/>
          </w:rPr>
          <m:t>=</m:t>
        </m:r>
        <m:nary>
          <m:naryPr>
            <m:chr m:val="∑"/>
            <m:limLoc m:val="undOvr"/>
            <m:ctrlPr>
              <w:rPr>
                <w:rFonts w:ascii="Cambria Math" w:hAnsi="Cambria Math"/>
                <w:sz w:val="22"/>
                <w:szCs w:val="22"/>
              </w:rPr>
            </m:ctrlPr>
          </m:naryPr>
          <m:sub>
            <m:r>
              <w:rPr>
                <w:rFonts w:ascii="Cambria Math" w:hAnsi="Cambria Math"/>
                <w:sz w:val="22"/>
                <w:szCs w:val="22"/>
              </w:rPr>
              <m:t>i</m:t>
            </m:r>
            <m:r>
              <m:rPr>
                <m:sty m:val="p"/>
              </m:rPr>
              <w:rPr>
                <w:rFonts w:ascii="Cambria Math" w:hAnsi="Cambria Math"/>
                <w:sz w:val="22"/>
                <w:szCs w:val="22"/>
              </w:rPr>
              <m:t>=1</m:t>
            </m:r>
          </m:sub>
          <m:sup>
            <m:r>
              <m:rPr>
                <m:sty m:val="p"/>
              </m:rPr>
              <w:rPr>
                <w:rFonts w:ascii="Cambria Math" w:hAnsi="Cambria Math"/>
                <w:sz w:val="22"/>
                <w:szCs w:val="22"/>
              </w:rPr>
              <m:t>28</m:t>
            </m:r>
          </m:sup>
          <m:e>
            <m:sSub>
              <m:sSubPr>
                <m:ctrlPr>
                  <w:rPr>
                    <w:rFonts w:ascii="Cambria Math" w:hAnsi="Cambria Math"/>
                    <w:sz w:val="22"/>
                    <w:szCs w:val="22"/>
                  </w:rPr>
                </m:ctrlPr>
              </m:sSubPr>
              <m:e>
                <m:r>
                  <w:rPr>
                    <w:rFonts w:ascii="Cambria Math" w:hAnsi="Cambria Math"/>
                    <w:sz w:val="22"/>
                    <w:szCs w:val="22"/>
                  </w:rPr>
                  <m:t>P</m:t>
                </m:r>
              </m:e>
              <m:sub>
                <m:r>
                  <w:rPr>
                    <w:rFonts w:ascii="Cambria Math" w:hAnsi="Cambria Math"/>
                    <w:sz w:val="22"/>
                    <w:szCs w:val="22"/>
                  </w:rPr>
                  <m:t>i</m:t>
                </m:r>
              </m:sub>
            </m:sSub>
            <m:r>
              <m:rPr>
                <m:sty m:val="p"/>
              </m:rPr>
              <w:rPr>
                <w:rFonts w:ascii="Cambria Math" w:hAnsi="Cambria Math"/>
                <w:sz w:val="22"/>
                <w:szCs w:val="22"/>
              </w:rPr>
              <m:t>×</m:t>
            </m:r>
            <m:f>
              <m:fPr>
                <m:ctrlPr>
                  <w:rPr>
                    <w:rFonts w:ascii="Cambria Math" w:hAnsi="Cambria Math"/>
                    <w:sz w:val="22"/>
                    <w:szCs w:val="22"/>
                  </w:rPr>
                </m:ctrlPr>
              </m:fPr>
              <m:num>
                <m:sSub>
                  <m:sSubPr>
                    <m:ctrlPr>
                      <w:rPr>
                        <w:rFonts w:ascii="Cambria Math" w:hAnsi="Cambria Math"/>
                        <w:sz w:val="22"/>
                        <w:szCs w:val="22"/>
                      </w:rPr>
                    </m:ctrlPr>
                  </m:sSubPr>
                  <m:e>
                    <m:r>
                      <w:rPr>
                        <w:rFonts w:ascii="Cambria Math" w:hAnsi="Cambria Math"/>
                        <w:sz w:val="22"/>
                        <w:szCs w:val="22"/>
                      </w:rPr>
                      <m:t>n</m:t>
                    </m:r>
                  </m:e>
                  <m:sub>
                    <m:r>
                      <w:rPr>
                        <w:rFonts w:ascii="Cambria Math" w:hAnsi="Cambria Math"/>
                        <w:sz w:val="22"/>
                        <w:szCs w:val="22"/>
                      </w:rPr>
                      <m:t>i</m:t>
                    </m:r>
                  </m:sub>
                </m:sSub>
              </m:num>
              <m:den>
                <m:sSub>
                  <m:sSubPr>
                    <m:ctrlPr>
                      <w:rPr>
                        <w:rFonts w:ascii="Cambria Math" w:hAnsi="Cambria Math"/>
                        <w:sz w:val="22"/>
                        <w:szCs w:val="22"/>
                      </w:rPr>
                    </m:ctrlPr>
                  </m:sSubPr>
                  <m:e>
                    <m:r>
                      <w:rPr>
                        <w:rFonts w:ascii="Cambria Math" w:hAnsi="Cambria Math"/>
                        <w:sz w:val="22"/>
                        <w:szCs w:val="22"/>
                      </w:rPr>
                      <m:t>N</m:t>
                    </m:r>
                  </m:e>
                  <m:sub>
                    <m:r>
                      <w:rPr>
                        <w:rFonts w:ascii="Cambria Math" w:hAnsi="Cambria Math"/>
                        <w:sz w:val="22"/>
                        <w:szCs w:val="22"/>
                      </w:rPr>
                      <m:t>i</m:t>
                    </m:r>
                  </m:sub>
                </m:sSub>
              </m:den>
            </m:f>
          </m:e>
        </m:nary>
        <m:r>
          <m:rPr>
            <m:sty m:val="p"/>
          </m:rPr>
          <w:rPr>
            <w:rFonts w:ascii="Cambria Math" w:hAnsi="Cambria Math"/>
            <w:sz w:val="22"/>
            <w:szCs w:val="22"/>
          </w:rPr>
          <m:t>×</m:t>
        </m:r>
        <m:f>
          <m:fPr>
            <m:ctrlPr>
              <w:rPr>
                <w:rFonts w:ascii="Cambria Math" w:hAnsi="Cambria Math"/>
                <w:sz w:val="22"/>
                <w:szCs w:val="22"/>
              </w:rPr>
            </m:ctrlPr>
          </m:fPr>
          <m:num>
            <m:sSub>
              <m:sSubPr>
                <m:ctrlPr>
                  <w:rPr>
                    <w:rFonts w:ascii="Cambria Math" w:hAnsi="Cambria Math"/>
                    <w:sz w:val="22"/>
                    <w:szCs w:val="22"/>
                  </w:rPr>
                </m:ctrlPr>
              </m:sSubPr>
              <m:e>
                <m:r>
                  <w:rPr>
                    <w:rFonts w:ascii="Cambria Math" w:hAnsi="Cambria Math"/>
                    <w:sz w:val="22"/>
                    <w:szCs w:val="22"/>
                  </w:rPr>
                  <m:t>m</m:t>
                </m:r>
              </m:e>
              <m:sub>
                <m:r>
                  <w:rPr>
                    <w:rFonts w:ascii="Cambria Math" w:hAnsi="Cambria Math"/>
                    <w:sz w:val="22"/>
                    <w:szCs w:val="22"/>
                  </w:rPr>
                  <m:t>i</m:t>
                </m:r>
              </m:sub>
            </m:sSub>
          </m:num>
          <m:den>
            <m:sSub>
              <m:sSubPr>
                <m:ctrlPr>
                  <w:rPr>
                    <w:rFonts w:ascii="Cambria Math" w:hAnsi="Cambria Math"/>
                    <w:sz w:val="22"/>
                    <w:szCs w:val="22"/>
                  </w:rPr>
                </m:ctrlPr>
              </m:sSubPr>
              <m:e>
                <m:r>
                  <w:rPr>
                    <w:rFonts w:ascii="Cambria Math" w:hAnsi="Cambria Math"/>
                    <w:sz w:val="22"/>
                    <w:szCs w:val="22"/>
                  </w:rPr>
                  <m:t>M</m:t>
                </m:r>
              </m:e>
              <m:sub>
                <m:r>
                  <w:rPr>
                    <w:rFonts w:ascii="Cambria Math" w:hAnsi="Cambria Math"/>
                    <w:sz w:val="22"/>
                    <w:szCs w:val="22"/>
                  </w:rPr>
                  <m:t>i</m:t>
                </m:r>
              </m:sub>
            </m:sSub>
          </m:den>
        </m:f>
      </m:oMath>
      <w:r w:rsidRPr="00A311DD">
        <w:rPr>
          <w:sz w:val="22"/>
          <w:szCs w:val="22"/>
        </w:rPr>
        <w:t xml:space="preserve">    (1)</w:t>
      </w:r>
    </w:p>
    <w:p w14:paraId="3866A6D4" w14:textId="77777777" w:rsidR="00C67648" w:rsidRPr="00A311DD" w:rsidRDefault="00C67648" w:rsidP="00C67648">
      <w:pPr>
        <w:adjustRightInd w:val="0"/>
        <w:snapToGrid w:val="0"/>
        <w:spacing w:afterLines="50" w:after="120"/>
        <w:rPr>
          <w:sz w:val="22"/>
          <w:szCs w:val="22"/>
        </w:rPr>
      </w:pPr>
      <w:r w:rsidRPr="00A311DD">
        <w:rPr>
          <w:sz w:val="22"/>
          <w:szCs w:val="22"/>
        </w:rPr>
        <w:t>Y</w:t>
      </w:r>
      <w:r w:rsidRPr="00A311DD">
        <w:rPr>
          <w:sz w:val="22"/>
          <w:szCs w:val="22"/>
          <w:vertAlign w:val="subscript"/>
        </w:rPr>
        <w:t>i</w:t>
      </w:r>
      <w:r w:rsidRPr="00A311DD">
        <w:rPr>
          <w:sz w:val="22"/>
          <w:szCs w:val="22"/>
        </w:rPr>
        <w:t xml:space="preserve">: Coverage inhabitants </w:t>
      </w:r>
      <w:proofErr w:type="gramStart"/>
      <w:r w:rsidRPr="00A311DD">
        <w:rPr>
          <w:sz w:val="22"/>
          <w:szCs w:val="22"/>
        </w:rPr>
        <w:t>in a given year</w:t>
      </w:r>
      <w:proofErr w:type="gramEnd"/>
      <w:r w:rsidRPr="00A311DD">
        <w:rPr>
          <w:sz w:val="22"/>
          <w:szCs w:val="22"/>
        </w:rPr>
        <w:t>;</w:t>
      </w:r>
    </w:p>
    <w:p w14:paraId="551AE356" w14:textId="77777777" w:rsidR="00C67648" w:rsidRPr="00A311DD" w:rsidRDefault="00C67648" w:rsidP="00C67648">
      <w:pPr>
        <w:adjustRightInd w:val="0"/>
        <w:snapToGrid w:val="0"/>
        <w:spacing w:afterLines="50" w:after="120"/>
        <w:rPr>
          <w:sz w:val="22"/>
          <w:szCs w:val="22"/>
        </w:rPr>
      </w:pPr>
      <w:r w:rsidRPr="00A311DD">
        <w:rPr>
          <w:sz w:val="22"/>
          <w:szCs w:val="22"/>
        </w:rPr>
        <w:t>P</w:t>
      </w:r>
      <w:r w:rsidRPr="00A311DD">
        <w:rPr>
          <w:sz w:val="22"/>
          <w:szCs w:val="22"/>
          <w:vertAlign w:val="subscript"/>
        </w:rPr>
        <w:t>i</w:t>
      </w:r>
      <w:r w:rsidRPr="00A311DD">
        <w:rPr>
          <w:sz w:val="22"/>
          <w:szCs w:val="22"/>
        </w:rPr>
        <w:t xml:space="preserve">: Total population </w:t>
      </w:r>
      <w:proofErr w:type="gramStart"/>
      <w:r w:rsidRPr="00A311DD">
        <w:rPr>
          <w:sz w:val="22"/>
          <w:szCs w:val="22"/>
        </w:rPr>
        <w:t>in a given year</w:t>
      </w:r>
      <w:proofErr w:type="gramEnd"/>
      <w:r w:rsidRPr="00A311DD">
        <w:rPr>
          <w:sz w:val="22"/>
          <w:szCs w:val="22"/>
        </w:rPr>
        <w:t xml:space="preserve"> in province </w:t>
      </w:r>
      <w:proofErr w:type="spellStart"/>
      <w:r w:rsidRPr="00A311DD">
        <w:rPr>
          <w:sz w:val="22"/>
          <w:szCs w:val="22"/>
        </w:rPr>
        <w:t>i</w:t>
      </w:r>
      <w:proofErr w:type="spellEnd"/>
      <w:r w:rsidRPr="00A311DD">
        <w:rPr>
          <w:sz w:val="22"/>
          <w:szCs w:val="22"/>
        </w:rPr>
        <w:t>;</w:t>
      </w:r>
    </w:p>
    <w:p w14:paraId="03904FA9" w14:textId="77777777" w:rsidR="00C67648" w:rsidRPr="00A311DD" w:rsidRDefault="00C67648" w:rsidP="00C67648">
      <w:pPr>
        <w:adjustRightInd w:val="0"/>
        <w:snapToGrid w:val="0"/>
        <w:spacing w:afterLines="50" w:after="120"/>
        <w:rPr>
          <w:sz w:val="22"/>
          <w:szCs w:val="22"/>
        </w:rPr>
      </w:pPr>
      <w:proofErr w:type="spellStart"/>
      <w:r w:rsidRPr="00A311DD">
        <w:rPr>
          <w:sz w:val="22"/>
          <w:szCs w:val="22"/>
        </w:rPr>
        <w:t>n</w:t>
      </w:r>
      <w:r w:rsidRPr="00A311DD">
        <w:rPr>
          <w:sz w:val="22"/>
          <w:szCs w:val="22"/>
          <w:vertAlign w:val="subscript"/>
        </w:rPr>
        <w:t>i</w:t>
      </w:r>
      <w:proofErr w:type="spellEnd"/>
      <w:r w:rsidRPr="00A311DD">
        <w:rPr>
          <w:sz w:val="22"/>
          <w:szCs w:val="22"/>
        </w:rPr>
        <w:t xml:space="preserve">: Number of sample hospitals in province </w:t>
      </w:r>
      <w:proofErr w:type="spellStart"/>
      <w:r w:rsidRPr="00A311DD">
        <w:rPr>
          <w:sz w:val="22"/>
          <w:szCs w:val="22"/>
        </w:rPr>
        <w:t>i</w:t>
      </w:r>
      <w:proofErr w:type="spellEnd"/>
      <w:r w:rsidRPr="00A311DD">
        <w:rPr>
          <w:sz w:val="22"/>
          <w:szCs w:val="22"/>
        </w:rPr>
        <w:t>;</w:t>
      </w:r>
    </w:p>
    <w:p w14:paraId="524CABB5" w14:textId="77777777" w:rsidR="00C67648" w:rsidRPr="00A311DD" w:rsidRDefault="00C67648" w:rsidP="00C67648">
      <w:pPr>
        <w:adjustRightInd w:val="0"/>
        <w:snapToGrid w:val="0"/>
        <w:spacing w:afterLines="50" w:after="120"/>
        <w:rPr>
          <w:sz w:val="22"/>
          <w:szCs w:val="22"/>
        </w:rPr>
      </w:pPr>
      <w:r w:rsidRPr="00A311DD">
        <w:rPr>
          <w:sz w:val="22"/>
          <w:szCs w:val="22"/>
        </w:rPr>
        <w:t>N</w:t>
      </w:r>
      <w:r w:rsidRPr="00A311DD">
        <w:rPr>
          <w:sz w:val="22"/>
          <w:szCs w:val="22"/>
          <w:vertAlign w:val="subscript"/>
        </w:rPr>
        <w:t>i</w:t>
      </w:r>
      <w:r w:rsidRPr="00A311DD">
        <w:rPr>
          <w:sz w:val="22"/>
          <w:szCs w:val="22"/>
        </w:rPr>
        <w:t xml:space="preserve">: Number of total hospitals in province </w:t>
      </w:r>
      <w:proofErr w:type="spellStart"/>
      <w:r w:rsidRPr="00A311DD">
        <w:rPr>
          <w:sz w:val="22"/>
          <w:szCs w:val="22"/>
        </w:rPr>
        <w:t>i</w:t>
      </w:r>
      <w:proofErr w:type="spellEnd"/>
      <w:r w:rsidRPr="00A311DD">
        <w:rPr>
          <w:sz w:val="22"/>
          <w:szCs w:val="22"/>
        </w:rPr>
        <w:t>;</w:t>
      </w:r>
    </w:p>
    <w:p w14:paraId="62642A20" w14:textId="77777777" w:rsidR="00C67648" w:rsidRPr="00A311DD" w:rsidRDefault="00C67648" w:rsidP="00C67648">
      <w:pPr>
        <w:adjustRightInd w:val="0"/>
        <w:snapToGrid w:val="0"/>
        <w:spacing w:afterLines="50" w:after="120"/>
        <w:rPr>
          <w:sz w:val="22"/>
          <w:szCs w:val="22"/>
        </w:rPr>
      </w:pPr>
      <w:r w:rsidRPr="00A311DD">
        <w:rPr>
          <w:sz w:val="22"/>
          <w:szCs w:val="22"/>
        </w:rPr>
        <w:t>m</w:t>
      </w:r>
      <w:r w:rsidRPr="00A311DD">
        <w:rPr>
          <w:sz w:val="22"/>
          <w:szCs w:val="22"/>
          <w:vertAlign w:val="subscript"/>
        </w:rPr>
        <w:t>i</w:t>
      </w:r>
      <w:r w:rsidRPr="00A311DD">
        <w:rPr>
          <w:sz w:val="22"/>
          <w:szCs w:val="22"/>
        </w:rPr>
        <w:t xml:space="preserve">: Number of inpatients and outpatients in sample hospitals in province </w:t>
      </w:r>
      <w:proofErr w:type="spellStart"/>
      <w:r w:rsidRPr="00A311DD">
        <w:rPr>
          <w:sz w:val="22"/>
          <w:szCs w:val="22"/>
        </w:rPr>
        <w:t>i</w:t>
      </w:r>
      <w:proofErr w:type="spellEnd"/>
      <w:r w:rsidRPr="00A311DD">
        <w:rPr>
          <w:sz w:val="22"/>
          <w:szCs w:val="22"/>
        </w:rPr>
        <w:t>;</w:t>
      </w:r>
    </w:p>
    <w:p w14:paraId="37B0F2A1" w14:textId="77777777" w:rsidR="00C67648" w:rsidRPr="00A311DD" w:rsidRDefault="00C67648" w:rsidP="00C67648">
      <w:pPr>
        <w:adjustRightInd w:val="0"/>
        <w:snapToGrid w:val="0"/>
        <w:spacing w:afterLines="50" w:after="120"/>
        <w:rPr>
          <w:sz w:val="22"/>
          <w:szCs w:val="22"/>
        </w:rPr>
      </w:pPr>
      <w:r w:rsidRPr="00A311DD">
        <w:rPr>
          <w:sz w:val="22"/>
          <w:szCs w:val="22"/>
        </w:rPr>
        <w:t>M</w:t>
      </w:r>
      <w:r w:rsidRPr="00A311DD">
        <w:rPr>
          <w:sz w:val="22"/>
          <w:szCs w:val="22"/>
          <w:vertAlign w:val="superscript"/>
        </w:rPr>
        <w:t>i</w:t>
      </w:r>
      <w:r w:rsidRPr="00A311DD">
        <w:rPr>
          <w:sz w:val="22"/>
          <w:szCs w:val="22"/>
        </w:rPr>
        <w:t xml:space="preserve">: Number of inpatients and outpatients in all hospitals in province </w:t>
      </w:r>
      <w:proofErr w:type="spellStart"/>
      <w:r w:rsidRPr="00A311DD">
        <w:rPr>
          <w:sz w:val="22"/>
          <w:szCs w:val="22"/>
        </w:rPr>
        <w:t>i</w:t>
      </w:r>
      <w:proofErr w:type="spellEnd"/>
      <w:r w:rsidRPr="00A311DD">
        <w:rPr>
          <w:sz w:val="22"/>
          <w:szCs w:val="22"/>
        </w:rPr>
        <w:t>.</w:t>
      </w:r>
    </w:p>
    <w:p w14:paraId="1A58DEA3" w14:textId="77777777" w:rsidR="00C67648" w:rsidRPr="00A311DD" w:rsidRDefault="00C67648" w:rsidP="00C67648">
      <w:pPr>
        <w:adjustRightInd w:val="0"/>
        <w:snapToGrid w:val="0"/>
        <w:spacing w:afterLines="50" w:after="120"/>
        <w:rPr>
          <w:sz w:val="22"/>
          <w:szCs w:val="22"/>
        </w:rPr>
      </w:pPr>
    </w:p>
    <w:p w14:paraId="5E61C604" w14:textId="77777777" w:rsidR="00C67648" w:rsidRPr="00A311DD" w:rsidRDefault="00C67648" w:rsidP="00C67648">
      <w:pPr>
        <w:adjustRightInd w:val="0"/>
        <w:snapToGrid w:val="0"/>
        <w:spacing w:afterLines="50" w:after="120"/>
        <w:rPr>
          <w:sz w:val="22"/>
          <w:szCs w:val="22"/>
        </w:rPr>
      </w:pPr>
      <w:r w:rsidRPr="00A311DD">
        <w:rPr>
          <w:sz w:val="22"/>
          <w:szCs w:val="22"/>
        </w:rPr>
        <w:t>In addition to ATC classification, we adopted ‘Access, Watch, Reserve’ (</w:t>
      </w:r>
      <w:proofErr w:type="spellStart"/>
      <w:r w:rsidRPr="00A311DD">
        <w:rPr>
          <w:sz w:val="22"/>
          <w:szCs w:val="22"/>
        </w:rPr>
        <w:t>AWaRe</w:t>
      </w:r>
      <w:proofErr w:type="spellEnd"/>
      <w:r w:rsidRPr="00A311DD">
        <w:rPr>
          <w:sz w:val="22"/>
          <w:szCs w:val="22"/>
        </w:rPr>
        <w:t xml:space="preserve">) categorization established by WHO as part of the update of the WHO Model List of Essential Medicines in 2017 to </w:t>
      </w:r>
      <w:proofErr w:type="spellStart"/>
      <w:r w:rsidRPr="00A311DD">
        <w:rPr>
          <w:sz w:val="22"/>
          <w:szCs w:val="22"/>
        </w:rPr>
        <w:t>analy</w:t>
      </w:r>
      <w:r>
        <w:rPr>
          <w:sz w:val="22"/>
          <w:szCs w:val="22"/>
        </w:rPr>
        <w:t>s</w:t>
      </w:r>
      <w:r w:rsidRPr="00A311DD">
        <w:rPr>
          <w:sz w:val="22"/>
          <w:szCs w:val="22"/>
        </w:rPr>
        <w:t>e</w:t>
      </w:r>
      <w:proofErr w:type="spellEnd"/>
      <w:r w:rsidRPr="00A311DD">
        <w:rPr>
          <w:sz w:val="22"/>
          <w:szCs w:val="22"/>
        </w:rPr>
        <w:t xml:space="preserve"> the antibiotic </w:t>
      </w:r>
      <w:r>
        <w:rPr>
          <w:sz w:val="22"/>
          <w:szCs w:val="22"/>
        </w:rPr>
        <w:t>sales</w:t>
      </w:r>
      <w:r w:rsidRPr="00A311DD">
        <w:rPr>
          <w:sz w:val="22"/>
          <w:szCs w:val="22"/>
        </w:rPr>
        <w:t xml:space="preserve"> [16].</w:t>
      </w:r>
    </w:p>
    <w:p w14:paraId="67F66722" w14:textId="77777777" w:rsidR="00C67648" w:rsidRPr="00A311DD" w:rsidRDefault="00C67648" w:rsidP="00C67648">
      <w:pPr>
        <w:adjustRightInd w:val="0"/>
        <w:snapToGrid w:val="0"/>
        <w:spacing w:afterLines="50" w:after="120"/>
        <w:rPr>
          <w:sz w:val="22"/>
          <w:szCs w:val="22"/>
        </w:rPr>
      </w:pPr>
      <w:r w:rsidRPr="00A311DD">
        <w:rPr>
          <w:sz w:val="22"/>
          <w:szCs w:val="22"/>
        </w:rPr>
        <w:t xml:space="preserve">To derive a comparable metric of antibiotic </w:t>
      </w:r>
      <w:r>
        <w:rPr>
          <w:sz w:val="22"/>
          <w:szCs w:val="22"/>
        </w:rPr>
        <w:t>sales</w:t>
      </w:r>
      <w:r w:rsidRPr="00A311DD">
        <w:rPr>
          <w:sz w:val="22"/>
          <w:szCs w:val="22"/>
        </w:rPr>
        <w:t xml:space="preserve"> across time, we calculated the compound annual growth rate (CAGR) of antibiotic </w:t>
      </w:r>
      <w:r>
        <w:rPr>
          <w:sz w:val="22"/>
          <w:szCs w:val="22"/>
        </w:rPr>
        <w:t>sales [4]</w:t>
      </w:r>
      <w:r w:rsidRPr="00A311DD">
        <w:rPr>
          <w:sz w:val="22"/>
          <w:szCs w:val="22"/>
        </w:rPr>
        <w:t xml:space="preserve">. </w:t>
      </w:r>
    </w:p>
    <w:p w14:paraId="72DF81D4" w14:textId="77777777" w:rsidR="00C67648" w:rsidRPr="00A311DD" w:rsidRDefault="00C67648" w:rsidP="00C67648">
      <w:pPr>
        <w:adjustRightInd w:val="0"/>
        <w:snapToGrid w:val="0"/>
        <w:spacing w:afterLines="50" w:after="120"/>
        <w:rPr>
          <w:sz w:val="22"/>
          <w:szCs w:val="22"/>
        </w:rPr>
      </w:pPr>
      <m:oMath>
        <m:r>
          <m:rPr>
            <m:sty m:val="p"/>
          </m:rPr>
          <w:rPr>
            <w:rFonts w:ascii="Cambria Math" w:hAnsi="Cambria Math"/>
            <w:sz w:val="22"/>
            <w:szCs w:val="22"/>
          </w:rPr>
          <w:lastRenderedPageBreak/>
          <m:t>CAGR=(</m:t>
        </m:r>
        <m:sSup>
          <m:sSupPr>
            <m:ctrlPr>
              <w:rPr>
                <w:rFonts w:ascii="Cambria Math" w:hAnsi="Cambria Math"/>
                <w:sz w:val="22"/>
                <w:szCs w:val="22"/>
              </w:rPr>
            </m:ctrlPr>
          </m:sSupPr>
          <m:e>
            <m:f>
              <m:fPr>
                <m:ctrlPr>
                  <w:rPr>
                    <w:rFonts w:ascii="Cambria Math" w:hAnsi="Cambria Math"/>
                    <w:sz w:val="22"/>
                    <w:szCs w:val="22"/>
                  </w:rPr>
                </m:ctrlPr>
              </m:fPr>
              <m:num>
                <m:sSub>
                  <m:sSubPr>
                    <m:ctrlPr>
                      <w:rPr>
                        <w:rFonts w:ascii="Cambria Math" w:hAnsi="Cambria Math"/>
                        <w:sz w:val="22"/>
                        <w:szCs w:val="22"/>
                      </w:rPr>
                    </m:ctrlPr>
                  </m:sSubPr>
                  <m:e>
                    <m:r>
                      <w:rPr>
                        <w:rFonts w:ascii="Cambria Math" w:hAnsi="Cambria Math"/>
                        <w:sz w:val="22"/>
                        <w:szCs w:val="22"/>
                      </w:rPr>
                      <m:t>C</m:t>
                    </m:r>
                  </m:e>
                  <m:sub>
                    <m:r>
                      <m:rPr>
                        <m:sty m:val="p"/>
                      </m:rPr>
                      <w:rPr>
                        <w:rFonts w:ascii="Cambria Math" w:hAnsi="Cambria Math"/>
                        <w:sz w:val="22"/>
                        <w:szCs w:val="22"/>
                      </w:rPr>
                      <m:t>2018</m:t>
                    </m:r>
                  </m:sub>
                </m:sSub>
              </m:num>
              <m:den>
                <m:sSub>
                  <m:sSubPr>
                    <m:ctrlPr>
                      <w:rPr>
                        <w:rFonts w:ascii="Cambria Math" w:hAnsi="Cambria Math"/>
                        <w:sz w:val="22"/>
                        <w:szCs w:val="22"/>
                      </w:rPr>
                    </m:ctrlPr>
                  </m:sSubPr>
                  <m:e>
                    <m:r>
                      <w:rPr>
                        <w:rFonts w:ascii="Cambria Math" w:hAnsi="Cambria Math"/>
                        <w:sz w:val="22"/>
                        <w:szCs w:val="22"/>
                      </w:rPr>
                      <m:t>C</m:t>
                    </m:r>
                  </m:e>
                  <m:sub>
                    <m:r>
                      <m:rPr>
                        <m:sty m:val="p"/>
                      </m:rPr>
                      <w:rPr>
                        <w:rFonts w:ascii="Cambria Math" w:hAnsi="Cambria Math"/>
                        <w:sz w:val="22"/>
                        <w:szCs w:val="22"/>
                      </w:rPr>
                      <m:t>2011</m:t>
                    </m:r>
                  </m:sub>
                </m:sSub>
              </m:den>
            </m:f>
            <m:r>
              <m:rPr>
                <m:sty m:val="p"/>
              </m:rPr>
              <w:rPr>
                <w:rFonts w:ascii="Cambria Math" w:hAnsi="Cambria Math"/>
                <w:sz w:val="22"/>
                <w:szCs w:val="22"/>
              </w:rPr>
              <m:t xml:space="preserve"> )</m:t>
            </m:r>
          </m:e>
          <m:sup>
            <m:f>
              <m:fPr>
                <m:ctrlPr>
                  <w:rPr>
                    <w:rFonts w:ascii="Cambria Math" w:hAnsi="Cambria Math"/>
                    <w:sz w:val="22"/>
                    <w:szCs w:val="22"/>
                  </w:rPr>
                </m:ctrlPr>
              </m:fPr>
              <m:num>
                <m:r>
                  <m:rPr>
                    <m:sty m:val="p"/>
                  </m:rPr>
                  <w:rPr>
                    <w:rFonts w:ascii="Cambria Math" w:hAnsi="Cambria Math"/>
                    <w:sz w:val="22"/>
                    <w:szCs w:val="22"/>
                  </w:rPr>
                  <m:t>1</m:t>
                </m:r>
              </m:num>
              <m:den>
                <m:r>
                  <m:rPr>
                    <m:sty m:val="p"/>
                  </m:rPr>
                  <w:rPr>
                    <w:rFonts w:ascii="Cambria Math" w:hAnsi="Cambria Math"/>
                    <w:sz w:val="22"/>
                    <w:szCs w:val="22"/>
                  </w:rPr>
                  <m:t>4</m:t>
                </m:r>
              </m:den>
            </m:f>
          </m:sup>
        </m:sSup>
        <m:r>
          <m:rPr>
            <m:sty m:val="p"/>
          </m:rPr>
          <w:rPr>
            <w:rFonts w:ascii="Cambria Math" w:hAnsi="Cambria Math"/>
            <w:sz w:val="22"/>
            <w:szCs w:val="22"/>
          </w:rPr>
          <m:t>-1</m:t>
        </m:r>
      </m:oMath>
      <w:r w:rsidRPr="00A311DD">
        <w:rPr>
          <w:sz w:val="22"/>
          <w:szCs w:val="22"/>
        </w:rPr>
        <w:t xml:space="preserve"> (2)</w:t>
      </w:r>
    </w:p>
    <w:p w14:paraId="0384933C" w14:textId="77777777" w:rsidR="00C67648" w:rsidRPr="00A311DD" w:rsidRDefault="00C67648" w:rsidP="00C67648">
      <w:pPr>
        <w:adjustRightInd w:val="0"/>
        <w:snapToGrid w:val="0"/>
        <w:spacing w:afterLines="50" w:after="120"/>
        <w:rPr>
          <w:sz w:val="22"/>
          <w:szCs w:val="22"/>
        </w:rPr>
      </w:pPr>
      <w:r w:rsidRPr="00A311DD">
        <w:rPr>
          <w:i/>
          <w:sz w:val="22"/>
          <w:szCs w:val="22"/>
        </w:rPr>
        <w:t>C</w:t>
      </w:r>
      <w:r w:rsidRPr="00A311DD">
        <w:rPr>
          <w:sz w:val="22"/>
          <w:szCs w:val="22"/>
          <w:vertAlign w:val="subscript"/>
        </w:rPr>
        <w:t>2018</w:t>
      </w:r>
      <w:r w:rsidRPr="00A311DD">
        <w:rPr>
          <w:sz w:val="22"/>
          <w:szCs w:val="22"/>
        </w:rPr>
        <w:t xml:space="preserve">: Total antibiotic </w:t>
      </w:r>
      <w:r>
        <w:rPr>
          <w:sz w:val="22"/>
          <w:szCs w:val="22"/>
        </w:rPr>
        <w:t>sales</w:t>
      </w:r>
      <w:r w:rsidRPr="00A311DD">
        <w:rPr>
          <w:sz w:val="22"/>
          <w:szCs w:val="22"/>
        </w:rPr>
        <w:t xml:space="preserve"> for </w:t>
      </w:r>
      <w:r>
        <w:rPr>
          <w:sz w:val="22"/>
          <w:szCs w:val="22"/>
        </w:rPr>
        <w:t xml:space="preserve">the </w:t>
      </w:r>
      <w:r w:rsidRPr="00A311DD">
        <w:rPr>
          <w:sz w:val="22"/>
          <w:szCs w:val="22"/>
        </w:rPr>
        <w:t>year 2018 (expressed in DID).</w:t>
      </w:r>
    </w:p>
    <w:p w14:paraId="101129F5" w14:textId="77777777" w:rsidR="00C67648" w:rsidRPr="00A311DD" w:rsidRDefault="00C67648" w:rsidP="00C67648">
      <w:pPr>
        <w:adjustRightInd w:val="0"/>
        <w:snapToGrid w:val="0"/>
        <w:spacing w:afterLines="50" w:after="120"/>
        <w:rPr>
          <w:sz w:val="22"/>
          <w:szCs w:val="22"/>
        </w:rPr>
      </w:pPr>
      <w:r w:rsidRPr="00A311DD">
        <w:rPr>
          <w:i/>
          <w:sz w:val="22"/>
          <w:szCs w:val="22"/>
        </w:rPr>
        <w:t>C</w:t>
      </w:r>
      <w:r w:rsidRPr="00A311DD">
        <w:rPr>
          <w:sz w:val="22"/>
          <w:szCs w:val="22"/>
          <w:vertAlign w:val="subscript"/>
        </w:rPr>
        <w:t>2011</w:t>
      </w:r>
      <w:r w:rsidRPr="00A311DD">
        <w:rPr>
          <w:sz w:val="22"/>
          <w:szCs w:val="22"/>
        </w:rPr>
        <w:t xml:space="preserve">: Total antibiotic </w:t>
      </w:r>
      <w:r>
        <w:rPr>
          <w:sz w:val="22"/>
          <w:szCs w:val="22"/>
        </w:rPr>
        <w:t>sales</w:t>
      </w:r>
      <w:r w:rsidRPr="00A311DD">
        <w:rPr>
          <w:sz w:val="22"/>
          <w:szCs w:val="22"/>
        </w:rPr>
        <w:t xml:space="preserve"> for </w:t>
      </w:r>
      <w:r>
        <w:rPr>
          <w:sz w:val="22"/>
          <w:szCs w:val="22"/>
        </w:rPr>
        <w:t xml:space="preserve">the </w:t>
      </w:r>
      <w:r w:rsidRPr="00A311DD">
        <w:rPr>
          <w:sz w:val="22"/>
          <w:szCs w:val="22"/>
        </w:rPr>
        <w:t>year 2011 (expressed in DID).</w:t>
      </w:r>
    </w:p>
    <w:p w14:paraId="7D836894" w14:textId="77777777" w:rsidR="00C67648" w:rsidRPr="00A311DD" w:rsidRDefault="00C67648" w:rsidP="00C67648">
      <w:pPr>
        <w:adjustRightInd w:val="0"/>
        <w:snapToGrid w:val="0"/>
        <w:spacing w:afterLines="50" w:after="120"/>
        <w:rPr>
          <w:sz w:val="22"/>
          <w:szCs w:val="22"/>
        </w:rPr>
      </w:pPr>
    </w:p>
    <w:p w14:paraId="354FE808" w14:textId="77777777" w:rsidR="00C67648" w:rsidRPr="00A311DD" w:rsidRDefault="00C67648" w:rsidP="00C67648">
      <w:pPr>
        <w:adjustRightInd w:val="0"/>
        <w:snapToGrid w:val="0"/>
        <w:spacing w:afterLines="50" w:after="120"/>
        <w:rPr>
          <w:sz w:val="22"/>
          <w:szCs w:val="22"/>
        </w:rPr>
      </w:pPr>
      <w:r w:rsidRPr="00A311DD">
        <w:rPr>
          <w:sz w:val="22"/>
          <w:szCs w:val="22"/>
        </w:rPr>
        <w:t xml:space="preserve">All the relevant census data for calculating inhabitants were collected from China Health Statistics Yearbook and China Statistics </w:t>
      </w:r>
      <w:proofErr w:type="gramStart"/>
      <w:r w:rsidRPr="00A311DD">
        <w:rPr>
          <w:sz w:val="22"/>
          <w:szCs w:val="22"/>
        </w:rPr>
        <w:t>Year Book</w:t>
      </w:r>
      <w:proofErr w:type="gramEnd"/>
      <w:r w:rsidRPr="00A311DD">
        <w:rPr>
          <w:sz w:val="22"/>
          <w:szCs w:val="22"/>
        </w:rPr>
        <w:t xml:space="preserve"> [17]. Linear regression analysis was adopted to determine the trends in antibiotic use with time. A difference with p &lt; 0.05 was considered to indicate statistical significance. </w:t>
      </w:r>
    </w:p>
    <w:p w14:paraId="7D70B8A5" w14:textId="77777777" w:rsidR="00C67648" w:rsidRDefault="00C67648">
      <w:bookmarkStart w:id="0" w:name="_GoBack"/>
      <w:bookmarkEnd w:id="0"/>
    </w:p>
    <w:sectPr w:rsidR="00C676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markup="0" w:comments="0"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648"/>
    <w:rsid w:val="00C676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2E289"/>
  <w15:chartTrackingRefBased/>
  <w15:docId w15:val="{FFE8C132-BBF9-4160-876C-5621B610C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648"/>
    <w:pPr>
      <w:widowControl w:val="0"/>
      <w:spacing w:after="0" w:line="480" w:lineRule="auto"/>
      <w:jc w:val="both"/>
    </w:pPr>
    <w:rPr>
      <w:rFonts w:ascii="Times New Roman" w:eastAsiaTheme="minorEastAsia" w:hAnsi="Times New Roman" w:cs="Times New Roman"/>
      <w:kern w:val="2"/>
      <w:sz w:val="24"/>
      <w:szCs w:val="28"/>
      <w:lang w:eastAsia="zh-CN" w:bidi="ug-CN"/>
    </w:rPr>
  </w:style>
  <w:style w:type="paragraph" w:styleId="Heading2">
    <w:name w:val="heading 2"/>
    <w:basedOn w:val="Normal"/>
    <w:next w:val="Normal"/>
    <w:link w:val="Heading2Char"/>
    <w:uiPriority w:val="9"/>
    <w:unhideWhenUsed/>
    <w:qFormat/>
    <w:rsid w:val="00C67648"/>
    <w:pPr>
      <w:keepNext/>
      <w:keepLines/>
      <w:adjustRightInd w:val="0"/>
      <w:snapToGrid w:val="0"/>
      <w:spacing w:beforeLines="50" w:before="156"/>
      <w:outlineLvl w:val="1"/>
    </w:pPr>
    <w:rPr>
      <w:rFonts w:eastAsiaTheme="majorEastAsia"/>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67648"/>
    <w:rPr>
      <w:rFonts w:ascii="Times New Roman" w:eastAsiaTheme="majorEastAsia" w:hAnsi="Times New Roman" w:cs="Times New Roman"/>
      <w:b/>
      <w:bCs/>
      <w:kern w:val="2"/>
      <w:lang w:eastAsia="zh-CN" w:bidi="ug-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325</Words>
  <Characters>1858</Characters>
  <Application>Microsoft Office Word</Application>
  <DocSecurity>0</DocSecurity>
  <Lines>15</Lines>
  <Paragraphs>4</Paragraphs>
  <ScaleCrop>false</ScaleCrop>
  <Company/>
  <LinksUpToDate>false</LinksUpToDate>
  <CharactersWithSpaces>2179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2020-02-19T17:01:00Z</dcterms:created>
  <dcterms:modified xsi:type="dcterms:W3CDTF">2020-02-19T17:01:00Z</dcterms:modified>
</cp:coreProperties>
</file>