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51C" w:rsidRDefault="00C17953" w:rsidP="00C17953">
      <w:pPr>
        <w:ind w:firstLine="720"/>
      </w:pPr>
      <w:r w:rsidRPr="00C17953">
        <w:rPr>
          <w:noProof/>
          <w:lang w:eastAsia="en-IN"/>
        </w:rPr>
        <w:drawing>
          <wp:inline distT="0" distB="0" distL="0" distR="0">
            <wp:extent cx="4568852" cy="2130950"/>
            <wp:effectExtent l="19050" t="0" r="22198" b="2650"/>
            <wp:docPr id="13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>
        <w:tab/>
      </w:r>
    </w:p>
    <w:p w:rsidR="00C17953" w:rsidRDefault="00C17953" w:rsidP="00C17953">
      <w:pPr>
        <w:ind w:left="113" w:right="11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6948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9127C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S8: </w:t>
      </w:r>
      <w:r w:rsidRPr="00326948">
        <w:rPr>
          <w:rFonts w:ascii="Times New Roman" w:hAnsi="Times New Roman" w:cs="Times New Roman"/>
          <w:b/>
          <w:sz w:val="24"/>
          <w:szCs w:val="24"/>
        </w:rPr>
        <w:t xml:space="preserve">Calibration curve of Glucose </w:t>
      </w:r>
    </w:p>
    <w:p w:rsidR="00C17953" w:rsidRDefault="00C17953" w:rsidP="00C17953">
      <w:pPr>
        <w:ind w:firstLine="720"/>
      </w:pPr>
    </w:p>
    <w:sectPr w:rsidR="00C17953" w:rsidSect="00A975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C17953"/>
    <w:rsid w:val="0009127C"/>
    <w:rsid w:val="00A9751C"/>
    <w:rsid w:val="00C17953"/>
    <w:rsid w:val="00C43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5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79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9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phytochemical%20and%20antioxidants\papers%20for%20quantitative%20analysis%20and%20antioxidant\Quantitative%20graphs\graphs\Carbohydrate%20graph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/>
          <a:lstStyle/>
          <a:p>
            <a:pPr>
              <a:defRPr lang="en-IN"/>
            </a:pPr>
            <a:r>
              <a:rPr lang="en-IN" sz="1400">
                <a:latin typeface="Times New Roman" pitchFamily="18" charset="0"/>
                <a:cs typeface="Times New Roman" pitchFamily="18" charset="0"/>
              </a:rPr>
              <a:t>Glucose</a:t>
            </a:r>
          </a:p>
        </c:rich>
      </c:tx>
      <c:overlay val="1"/>
    </c:title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9.3980992792479665E-2"/>
                  <c:y val="0.26717440289686001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lang="en-IN" sz="1200">
                      <a:latin typeface="Times New Roman" pitchFamily="18" charset="0"/>
                      <a:cs typeface="Times New Roman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Sheet1!$E$5:$E$10</c:f>
              <c:numCache>
                <c:formatCode>General</c:formatCode>
                <c:ptCount val="6"/>
                <c:pt idx="1">
                  <c:v>20</c:v>
                </c:pt>
                <c:pt idx="2">
                  <c:v>40</c:v>
                </c:pt>
                <c:pt idx="3">
                  <c:v>60</c:v>
                </c:pt>
                <c:pt idx="4">
                  <c:v>80</c:v>
                </c:pt>
                <c:pt idx="5">
                  <c:v>100</c:v>
                </c:pt>
              </c:numCache>
            </c:numRef>
          </c:xVal>
          <c:yVal>
            <c:numRef>
              <c:f>Sheet1!$F$5:$F$10</c:f>
              <c:numCache>
                <c:formatCode>General</c:formatCode>
                <c:ptCount val="6"/>
                <c:pt idx="1">
                  <c:v>0.25</c:v>
                </c:pt>
                <c:pt idx="2">
                  <c:v>0.41000000000000031</c:v>
                </c:pt>
                <c:pt idx="3">
                  <c:v>0.65000000000002101</c:v>
                </c:pt>
                <c:pt idx="4">
                  <c:v>0.8</c:v>
                </c:pt>
                <c:pt idx="5">
                  <c:v>0.98</c:v>
                </c:pt>
              </c:numCache>
            </c:numRef>
          </c:yVal>
        </c:ser>
        <c:axId val="82941056"/>
        <c:axId val="82942976"/>
      </c:scatterChart>
      <c:valAx>
        <c:axId val="82941056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lang="en-IN"/>
                </a:pPr>
                <a:r>
                  <a:rPr lang="en-IN" sz="1200" baseline="0">
                    <a:latin typeface="Times New Roman" pitchFamily="18" charset="0"/>
                    <a:cs typeface="Times New Roman" pitchFamily="18" charset="0"/>
                  </a:rPr>
                  <a:t>Concentration (µg/ml)</a:t>
                </a:r>
                <a:endParaRPr lang="en-IN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82942976"/>
        <c:crosses val="autoZero"/>
        <c:crossBetween val="midCat"/>
      </c:valAx>
      <c:valAx>
        <c:axId val="82942976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 lang="en-IN"/>
                </a:pPr>
                <a:r>
                  <a:rPr lang="en-IN" sz="1200">
                    <a:latin typeface="Times New Roman" pitchFamily="18" charset="0"/>
                    <a:cs typeface="Times New Roman" pitchFamily="18" charset="0"/>
                  </a:rPr>
                  <a:t>Absorbance (630 nm)</a:t>
                </a: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82941056"/>
        <c:crosses val="autoZero"/>
        <c:crossBetween val="midCat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3</cp:revision>
  <dcterms:created xsi:type="dcterms:W3CDTF">2019-10-18T09:08:00Z</dcterms:created>
  <dcterms:modified xsi:type="dcterms:W3CDTF">2019-10-20T14:42:00Z</dcterms:modified>
</cp:coreProperties>
</file>