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51C" w:rsidRDefault="00830843">
      <w:r>
        <w:t xml:space="preserve">                   </w:t>
      </w:r>
      <w:r w:rsidRPr="00830843">
        <w:drawing>
          <wp:inline distT="0" distB="0" distL="0" distR="0">
            <wp:extent cx="4336995" cy="2161816"/>
            <wp:effectExtent l="19050" t="0" r="25455" b="0"/>
            <wp:docPr id="11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830843" w:rsidRDefault="00830843" w:rsidP="00830843">
      <w:pPr>
        <w:autoSpaceDE w:val="0"/>
        <w:autoSpaceDN w:val="0"/>
        <w:adjustRightInd w:val="0"/>
        <w:spacing w:after="0" w:line="360" w:lineRule="auto"/>
        <w:ind w:left="113" w:right="11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S7: </w:t>
      </w:r>
      <w:r w:rsidRPr="00326948">
        <w:rPr>
          <w:rFonts w:ascii="Times New Roman" w:hAnsi="Times New Roman" w:cs="Times New Roman"/>
          <w:b/>
          <w:sz w:val="24"/>
          <w:szCs w:val="24"/>
        </w:rPr>
        <w:t>Calibration curve of tannins</w:t>
      </w:r>
    </w:p>
    <w:p w:rsidR="00830843" w:rsidRDefault="00830843"/>
    <w:sectPr w:rsidR="00830843" w:rsidSect="00A97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830843"/>
    <w:rsid w:val="00830843"/>
    <w:rsid w:val="00A97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08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8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phytochemical%20and%20antioxidants\papers%20for%20quantitative%20analysis%20and%20antioxidant\Quantitative%20graphs\graphs\Tannins%20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/>
          <a:lstStyle/>
          <a:p>
            <a:pPr>
              <a:defRPr lang="en-IN"/>
            </a:pPr>
            <a:r>
              <a:rPr lang="en-IN" sz="1400">
                <a:latin typeface="Times New Roman" pitchFamily="18" charset="0"/>
                <a:cs typeface="Times New Roman" pitchFamily="18" charset="0"/>
              </a:rPr>
              <a:t>Tannic</a:t>
            </a:r>
            <a:r>
              <a:rPr lang="en-IN" sz="1400" baseline="0">
                <a:latin typeface="Times New Roman" pitchFamily="18" charset="0"/>
                <a:cs typeface="Times New Roman" pitchFamily="18" charset="0"/>
              </a:rPr>
              <a:t> acid</a:t>
            </a:r>
            <a:endParaRPr lang="en-IN" sz="1400">
              <a:latin typeface="Times New Roman" pitchFamily="18" charset="0"/>
              <a:cs typeface="Times New Roman" pitchFamily="18" charset="0"/>
            </a:endParaRPr>
          </a:p>
        </c:rich>
      </c:tx>
      <c:overlay val="1"/>
    </c:title>
    <c:plotArea>
      <c:layout/>
      <c:scatterChart>
        <c:scatterStyle val="lineMarker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9.8590190104810363E-2"/>
                  <c:y val="0.23901248209944276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lang="en-IN" sz="1200">
                      <a:latin typeface="Times New Roman" pitchFamily="18" charset="0"/>
                      <a:cs typeface="Times New Roman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Sheet1!$E$6:$E$10</c:f>
              <c:numCache>
                <c:formatCode>General</c:formatCode>
                <c:ptCount val="5"/>
                <c:pt idx="0">
                  <c:v>20</c:v>
                </c:pt>
                <c:pt idx="1">
                  <c:v>40</c:v>
                </c:pt>
                <c:pt idx="2">
                  <c:v>60</c:v>
                </c:pt>
                <c:pt idx="3">
                  <c:v>80</c:v>
                </c:pt>
                <c:pt idx="4">
                  <c:v>100</c:v>
                </c:pt>
              </c:numCache>
            </c:numRef>
          </c:xVal>
          <c:yVal>
            <c:numRef>
              <c:f>Sheet1!$F$6:$F$10</c:f>
              <c:numCache>
                <c:formatCode>General</c:formatCode>
                <c:ptCount val="5"/>
                <c:pt idx="0">
                  <c:v>0.4</c:v>
                </c:pt>
                <c:pt idx="1">
                  <c:v>0.75000000000001465</c:v>
                </c:pt>
                <c:pt idx="2">
                  <c:v>1.2</c:v>
                </c:pt>
                <c:pt idx="3">
                  <c:v>1.6</c:v>
                </c:pt>
                <c:pt idx="4">
                  <c:v>1.9000000000000001</c:v>
                </c:pt>
              </c:numCache>
            </c:numRef>
          </c:yVal>
        </c:ser>
        <c:axId val="73152000"/>
        <c:axId val="130485248"/>
      </c:scatterChart>
      <c:valAx>
        <c:axId val="7315200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lang="en-IN"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30485248"/>
        <c:crosses val="autoZero"/>
        <c:crossBetween val="midCat"/>
      </c:valAx>
      <c:valAx>
        <c:axId val="130485248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lang="en-IN"/>
                </a:pP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Absorbance (725 nm)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73152000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2</cp:revision>
  <dcterms:created xsi:type="dcterms:W3CDTF">2019-10-18T09:07:00Z</dcterms:created>
  <dcterms:modified xsi:type="dcterms:W3CDTF">2019-10-18T09:07:00Z</dcterms:modified>
</cp:coreProperties>
</file>