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F322C6">
      <w:r>
        <w:t xml:space="preserve">                   </w:t>
      </w:r>
      <w:r w:rsidRPr="00F322C6">
        <w:drawing>
          <wp:inline distT="0" distB="0" distL="0" distR="0">
            <wp:extent cx="4409827" cy="2154804"/>
            <wp:effectExtent l="19050" t="0" r="9773" b="0"/>
            <wp:docPr id="34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t xml:space="preserve">   </w:t>
      </w:r>
    </w:p>
    <w:p w:rsidR="00F322C6" w:rsidRPr="00326948" w:rsidRDefault="00F322C6" w:rsidP="00F322C6">
      <w:pPr>
        <w:pStyle w:val="Default"/>
        <w:spacing w:line="360" w:lineRule="auto"/>
        <w:ind w:left="113" w:right="113"/>
        <w:jc w:val="both"/>
        <w:rPr>
          <w:b/>
          <w:color w:val="auto"/>
        </w:rPr>
      </w:pPr>
      <w:r w:rsidRPr="00326948">
        <w:rPr>
          <w:b/>
          <w:color w:val="auto"/>
        </w:rPr>
        <w:t xml:space="preserve">                            </w:t>
      </w:r>
      <w:r>
        <w:rPr>
          <w:b/>
          <w:color w:val="auto"/>
        </w:rPr>
        <w:t xml:space="preserve">          S4: </w:t>
      </w:r>
      <w:r w:rsidRPr="00326948">
        <w:rPr>
          <w:b/>
          <w:color w:val="auto"/>
        </w:rPr>
        <w:t xml:space="preserve">Calibration curve of Terpenoids </w:t>
      </w:r>
    </w:p>
    <w:p w:rsidR="00F322C6" w:rsidRDefault="00F322C6"/>
    <w:sectPr w:rsidR="00F322C6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F322C6"/>
    <w:rsid w:val="00A9751C"/>
    <w:rsid w:val="00F32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2C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322C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5\Quantitative%20test%20graphs\terpenoids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 sz="1400">
                <a:latin typeface="Times New Roman" pitchFamily="18" charset="0"/>
                <a:cs typeface="Times New Roman" pitchFamily="18" charset="0"/>
              </a:defRPr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Linalool</a:t>
            </a:r>
          </a:p>
        </c:rich>
      </c:tx>
      <c:overlay val="1"/>
    </c:title>
    <c:plotArea>
      <c:layout>
        <c:manualLayout>
          <c:layoutTarget val="inner"/>
          <c:xMode val="edge"/>
          <c:yMode val="edge"/>
          <c:x val="0.11678831985792085"/>
          <c:y val="7.1401296076928439E-2"/>
          <c:w val="0.84081276726791798"/>
          <c:h val="0.6521877685643277"/>
        </c:manualLayout>
      </c:layout>
      <c:scatterChart>
        <c:scatterStyle val="lineMarker"/>
        <c:ser>
          <c:idx val="0"/>
          <c:order val="0"/>
          <c:tx>
            <c:strRef>
              <c:f>Sheet1!$D$21</c:f>
              <c:strCache>
                <c:ptCount val="1"/>
                <c:pt idx="0">
                  <c:v>Absorbance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7.6868321591754052E-2"/>
                  <c:y val="0.4001032112433428"/>
                </c:manualLayout>
              </c:layout>
              <c:tx>
                <c:rich>
                  <a:bodyPr/>
                  <a:lstStyle/>
                  <a:p>
                    <a:pPr>
                      <a:defRPr lang="en-IN"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sz="1000" baseline="0"/>
                      <a:t>y = 0.001x + 0.032
R² = 0.9912</a:t>
                    </a:r>
                    <a:endParaRPr sz="1000"/>
                  </a:p>
                </c:rich>
              </c:tx>
              <c:numFmt formatCode="General" sourceLinked="0"/>
            </c:trendlineLbl>
          </c:trendline>
          <c:xVal>
            <c:numRef>
              <c:f>Sheet1!$C$22:$C$27</c:f>
              <c:numCache>
                <c:formatCode>General</c:formatCode>
                <c:ptCount val="6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xVal>
          <c:yVal>
            <c:numRef>
              <c:f>Sheet1!$D$22:$D$27</c:f>
              <c:numCache>
                <c:formatCode>General</c:formatCode>
                <c:ptCount val="6"/>
                <c:pt idx="0">
                  <c:v>0.13</c:v>
                </c:pt>
                <c:pt idx="1">
                  <c:v>0.27</c:v>
                </c:pt>
                <c:pt idx="2">
                  <c:v>0.37000000000000038</c:v>
                </c:pt>
                <c:pt idx="3">
                  <c:v>0.45</c:v>
                </c:pt>
                <c:pt idx="4">
                  <c:v>0.59</c:v>
                </c:pt>
              </c:numCache>
            </c:numRef>
          </c:yVal>
        </c:ser>
        <c:axId val="73627136"/>
        <c:axId val="114481024"/>
      </c:scatterChart>
      <c:valAx>
        <c:axId val="7362713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14481024"/>
        <c:crosses val="autoZero"/>
        <c:crossBetween val="midCat"/>
      </c:valAx>
      <c:valAx>
        <c:axId val="11448102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Absorbance (538 nm)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627136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2019-10-18T09:02:00Z</dcterms:created>
  <dcterms:modified xsi:type="dcterms:W3CDTF">2019-10-18T09:02:00Z</dcterms:modified>
</cp:coreProperties>
</file>