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21" w:rsidRDefault="001E5895">
      <w:r>
        <w:t xml:space="preserve">                  </w:t>
      </w:r>
      <w:r w:rsidRPr="001E5895">
        <w:rPr>
          <w:noProof/>
          <w:lang w:eastAsia="en-IN"/>
        </w:rPr>
        <w:drawing>
          <wp:inline distT="0" distB="0" distL="0" distR="0">
            <wp:extent cx="4664268" cy="1733385"/>
            <wp:effectExtent l="19050" t="0" r="22032" b="165"/>
            <wp:docPr id="16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8D6E32" w:rsidRDefault="008D6E32" w:rsidP="008D6E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S19</w:t>
      </w:r>
      <w:r w:rsidR="001E589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E5895" w:rsidRPr="00D52F32">
        <w:rPr>
          <w:rFonts w:ascii="Times New Roman" w:hAnsi="Times New Roman" w:cs="Times New Roman"/>
          <w:b/>
          <w:sz w:val="24"/>
          <w:szCs w:val="24"/>
        </w:rPr>
        <w:t>Superoxide ra</w:t>
      </w:r>
      <w:r>
        <w:rPr>
          <w:rFonts w:ascii="Times New Roman" w:hAnsi="Times New Roman" w:cs="Times New Roman"/>
          <w:b/>
          <w:sz w:val="24"/>
          <w:szCs w:val="24"/>
        </w:rPr>
        <w:t xml:space="preserve">dical scavenging activity of </w:t>
      </w:r>
      <w:r>
        <w:rPr>
          <w:rFonts w:ascii="Times New Roman" w:hAnsi="Times New Roman" w:cs="Times New Roman"/>
          <w:b/>
          <w:i/>
          <w:sz w:val="24"/>
          <w:szCs w:val="24"/>
        </w:rPr>
        <w:t>Curvularia aeria</w:t>
      </w:r>
      <w:r>
        <w:rPr>
          <w:rFonts w:ascii="Times New Roman" w:hAnsi="Times New Roman" w:cs="Times New Roman"/>
          <w:b/>
          <w:sz w:val="24"/>
          <w:szCs w:val="24"/>
        </w:rPr>
        <w:t xml:space="preserve"> MTCC-12847</w:t>
      </w:r>
    </w:p>
    <w:p w:rsidR="001E5895" w:rsidRPr="00D52F32" w:rsidRDefault="001E5895" w:rsidP="001E589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E5895" w:rsidRDefault="001E5895"/>
    <w:sectPr w:rsidR="001E5895" w:rsidSect="004D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1E5895"/>
    <w:rsid w:val="001E5895"/>
    <w:rsid w:val="004D2A21"/>
    <w:rsid w:val="007B554F"/>
    <w:rsid w:val="008D6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8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1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6\Antioxidant%20calculations\Metal%20chelating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plotArea>
      <c:layout/>
      <c:lineChart>
        <c:grouping val="standard"/>
        <c:ser>
          <c:idx val="0"/>
          <c:order val="0"/>
          <c:tx>
            <c:strRef>
              <c:f>Sheet1!$D$22</c:f>
              <c:strCache>
                <c:ptCount val="1"/>
                <c:pt idx="0">
                  <c:v>Ethyl acetate  Extract</c:v>
                </c:pt>
              </c:strCache>
            </c:strRef>
          </c:tx>
          <c:cat>
            <c:numRef>
              <c:f>Sheet1!$C$23:$C$27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Sheet1!$D$23:$D$27</c:f>
              <c:numCache>
                <c:formatCode>General</c:formatCode>
                <c:ptCount val="5"/>
                <c:pt idx="0">
                  <c:v>31</c:v>
                </c:pt>
                <c:pt idx="1">
                  <c:v>40</c:v>
                </c:pt>
                <c:pt idx="2">
                  <c:v>52</c:v>
                </c:pt>
                <c:pt idx="3">
                  <c:v>64</c:v>
                </c:pt>
                <c:pt idx="4">
                  <c:v>75</c:v>
                </c:pt>
              </c:numCache>
            </c:numRef>
          </c:val>
        </c:ser>
        <c:ser>
          <c:idx val="1"/>
          <c:order val="1"/>
          <c:tx>
            <c:strRef>
              <c:f>Sheet1!$E$22</c:f>
              <c:strCache>
                <c:ptCount val="1"/>
                <c:pt idx="0">
                  <c:v>Methanol Extract </c:v>
                </c:pt>
              </c:strCache>
            </c:strRef>
          </c:tx>
          <c:cat>
            <c:numRef>
              <c:f>Sheet1!$C$23:$C$27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Sheet1!$E$23:$E$27</c:f>
              <c:numCache>
                <c:formatCode>General</c:formatCode>
                <c:ptCount val="5"/>
                <c:pt idx="0">
                  <c:v>30</c:v>
                </c:pt>
                <c:pt idx="1">
                  <c:v>38</c:v>
                </c:pt>
                <c:pt idx="2">
                  <c:v>51</c:v>
                </c:pt>
                <c:pt idx="3">
                  <c:v>63</c:v>
                </c:pt>
                <c:pt idx="4">
                  <c:v>74</c:v>
                </c:pt>
              </c:numCache>
            </c:numRef>
          </c:val>
        </c:ser>
        <c:ser>
          <c:idx val="2"/>
          <c:order val="2"/>
          <c:tx>
            <c:strRef>
              <c:f>Sheet1!$F$22</c:f>
              <c:strCache>
                <c:ptCount val="1"/>
                <c:pt idx="0">
                  <c:v>Chloroform Extract</c:v>
                </c:pt>
              </c:strCache>
            </c:strRef>
          </c:tx>
          <c:cat>
            <c:numRef>
              <c:f>Sheet1!$C$23:$C$27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Sheet1!$F$23:$F$27</c:f>
              <c:numCache>
                <c:formatCode>General</c:formatCode>
                <c:ptCount val="5"/>
                <c:pt idx="0">
                  <c:v>13</c:v>
                </c:pt>
                <c:pt idx="1">
                  <c:v>25</c:v>
                </c:pt>
                <c:pt idx="2">
                  <c:v>37</c:v>
                </c:pt>
                <c:pt idx="3">
                  <c:v>50</c:v>
                </c:pt>
                <c:pt idx="4">
                  <c:v>60</c:v>
                </c:pt>
              </c:numCache>
            </c:numRef>
          </c:val>
        </c:ser>
        <c:ser>
          <c:idx val="3"/>
          <c:order val="3"/>
          <c:tx>
            <c:strRef>
              <c:f>Sheet1!$G$22</c:f>
              <c:strCache>
                <c:ptCount val="1"/>
                <c:pt idx="0">
                  <c:v>Ascorbic acid</c:v>
                </c:pt>
              </c:strCache>
            </c:strRef>
          </c:tx>
          <c:cat>
            <c:numRef>
              <c:f>Sheet1!$C$23:$C$27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Sheet1!$G$23:$G$27</c:f>
              <c:numCache>
                <c:formatCode>General</c:formatCode>
                <c:ptCount val="5"/>
                <c:pt idx="0">
                  <c:v>34</c:v>
                </c:pt>
                <c:pt idx="1">
                  <c:v>44</c:v>
                </c:pt>
                <c:pt idx="2">
                  <c:v>55</c:v>
                </c:pt>
                <c:pt idx="3">
                  <c:v>68</c:v>
                </c:pt>
                <c:pt idx="4">
                  <c:v>79</c:v>
                </c:pt>
              </c:numCache>
            </c:numRef>
          </c:val>
        </c:ser>
        <c:marker val="1"/>
        <c:axId val="45711360"/>
        <c:axId val="45713280"/>
      </c:lineChart>
      <c:catAx>
        <c:axId val="4571136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45713280"/>
        <c:crosses val="autoZero"/>
        <c:auto val="1"/>
        <c:lblAlgn val="ctr"/>
        <c:lblOffset val="100"/>
      </c:catAx>
      <c:valAx>
        <c:axId val="45713280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Inhibition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%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45711360"/>
        <c:crosses val="autoZero"/>
        <c:crossBetween val="between"/>
      </c:valAx>
    </c:plotArea>
    <c:legend>
      <c:legendPos val="r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3</cp:revision>
  <dcterms:created xsi:type="dcterms:W3CDTF">2019-10-18T16:11:00Z</dcterms:created>
  <dcterms:modified xsi:type="dcterms:W3CDTF">2019-10-20T14:44:00Z</dcterms:modified>
</cp:coreProperties>
</file>