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keepLines w:val="0"/>
        <w:pageBreakBefore w:val="0"/>
        <w:kinsoku/>
        <w:wordWrap/>
        <w:overflowPunct/>
        <w:topLinePunct w:val="0"/>
        <w:autoSpaceDE/>
        <w:autoSpaceDN/>
        <w:bidi w:val="0"/>
        <w:adjustRightInd/>
        <w:spacing w:before="0" w:after="0" w:line="480" w:lineRule="auto"/>
        <w:textAlignment w:val="auto"/>
      </w:pPr>
      <w:bookmarkStart w:id="0" w:name="_v40x44lscm44"/>
      <w:bookmarkEnd w:id="0"/>
      <w:r>
        <w:rPr>
          <w:rFonts w:ascii="Times New Roman" w:hAnsi="Times New Roman" w:eastAsia="Times New Roman" w:cs="Times New Roman"/>
          <w:b/>
          <w:sz w:val="46"/>
          <w:szCs w:val="46"/>
        </w:rPr>
        <w:t xml:space="preserve">Supplementary </w:t>
      </w:r>
    </w:p>
    <w:p>
      <w:pPr>
        <w:pageBreakBefore w:val="0"/>
        <w:kinsoku/>
        <w:wordWrap/>
        <w:overflowPunct/>
        <w:topLinePunct w:val="0"/>
        <w:autoSpaceDE/>
        <w:autoSpaceDN/>
        <w:bidi w:val="0"/>
        <w:adjustRightInd/>
        <w:spacing w:line="480" w:lineRule="auto"/>
        <w:jc w:val="both"/>
        <w:textAlignment w:val="auto"/>
      </w:pPr>
      <w:r>
        <w:drawing>
          <wp:inline distT="0" distB="0" distL="0" distR="0">
            <wp:extent cx="5943600" cy="2514600"/>
            <wp:effectExtent l="0" t="0" r="0" b="0"/>
            <wp:docPr id="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4.png"/>
                    <pic:cNvPicPr>
                      <a:picLocks noChangeAspect="1" noChangeArrowheads="1"/>
                    </pic:cNvPicPr>
                  </pic:nvPicPr>
                  <pic:blipFill>
                    <a:blip r:embed="rId6"/>
                    <a:stretch>
                      <a:fillRect/>
                    </a:stretch>
                  </pic:blipFill>
                  <pic:spPr>
                    <a:xfrm>
                      <a:off x="0" y="0"/>
                      <a:ext cx="5943600" cy="2514600"/>
                    </a:xfrm>
                    <a:prstGeom prst="rect">
                      <a:avLst/>
                    </a:prstGeom>
                  </pic:spPr>
                </pic:pic>
              </a:graphicData>
            </a:graphic>
          </wp:inline>
        </w:drawing>
      </w:r>
    </w:p>
    <w:p>
      <w:pPr>
        <w:pageBreakBefore w:val="0"/>
        <w:kinsoku/>
        <w:wordWrap/>
        <w:overflowPunct/>
        <w:topLinePunct w:val="0"/>
        <w:autoSpaceDE/>
        <w:autoSpaceDN/>
        <w:bidi w:val="0"/>
        <w:adjustRightInd/>
        <w:spacing w:line="480" w:lineRule="auto"/>
        <w:jc w:val="both"/>
        <w:textAlignment w:val="auto"/>
        <w:rPr>
          <w:rFonts w:ascii="Times New Roman" w:hAnsi="Times New Roman" w:eastAsia="Times New Roman" w:cs="Times New Roman"/>
        </w:rPr>
      </w:pPr>
      <w:r>
        <w:rPr>
          <w:rFonts w:ascii="Times New Roman" w:hAnsi="Times New Roman" w:eastAsia="Times New Roman" w:cs="Times New Roman"/>
          <w:b/>
        </w:rPr>
        <w:t>Figure S1.</w:t>
      </w:r>
      <w:r>
        <w:rPr>
          <w:rFonts w:ascii="Times New Roman" w:hAnsi="Times New Roman" w:eastAsia="Times New Roman" w:cs="Times New Roman"/>
          <w:b w:val="0"/>
          <w:bCs/>
        </w:rPr>
        <w:t xml:space="preserve"> Copy number calling using a read depth and a read-pair approach. A</w:t>
      </w:r>
      <w:r>
        <w:rPr>
          <w:rFonts w:ascii="Times New Roman" w:hAnsi="Times New Roman" w:eastAsia="Times New Roman" w:cs="Times New Roman"/>
        </w:rPr>
        <w:t>s an example, a tissue sample harbouring a cancerous area having 10% of the tissue size was bulk sequenced with 30x coverag</w:t>
      </w:r>
      <w:r>
        <w:rPr>
          <w:rFonts w:ascii="Times New Roman" w:hAnsi="Times New Roman" w:eastAsia="Times New Roman" w:cs="Times New Roman"/>
          <w:b w:val="0"/>
          <w:bCs w:val="0"/>
        </w:rPr>
        <w:t xml:space="preserve">e </w:t>
      </w:r>
      <w:r>
        <w:rPr>
          <w:rFonts w:ascii="Times New Roman" w:hAnsi="Times New Roman" w:eastAsia="Times New Roman" w:cs="Times New Roman"/>
          <w:b w:val="0"/>
          <w:bCs w:val="0"/>
          <w:color w:val="000000"/>
          <w:position w:val="0"/>
          <w:sz w:val="22"/>
          <w:vertAlign w:val="baseline"/>
        </w:rPr>
        <w:t>[35]</w:t>
      </w:r>
      <w:r>
        <w:rPr>
          <w:rFonts w:ascii="Times New Roman" w:hAnsi="Times New Roman" w:eastAsia="Times New Roman" w:cs="Times New Roman"/>
          <w:b w:val="0"/>
          <w:bCs w:val="0"/>
        </w:rPr>
        <w:t>. Th</w:t>
      </w:r>
      <w:r>
        <w:rPr>
          <w:rFonts w:ascii="Times New Roman" w:hAnsi="Times New Roman" w:eastAsia="Times New Roman" w:cs="Times New Roman"/>
        </w:rPr>
        <w:t xml:space="preserve">e cancerous area is, thus, on average covered by 3x. Using a read-pair approach, only correctly aligned read-pairs were considered. In case of a deleted gene </w:t>
      </w:r>
      <w:r>
        <w:rPr>
          <w:rFonts w:ascii="Times New Roman" w:hAnsi="Times New Roman" w:eastAsia="Times New Roman" w:cs="Times New Roman"/>
          <w:i/>
          <w:iCs/>
        </w:rPr>
        <w:t>D</w:t>
      </w:r>
      <w:r>
        <w:rPr>
          <w:rFonts w:ascii="Times New Roman" w:hAnsi="Times New Roman" w:eastAsia="Times New Roman" w:cs="Times New Roman"/>
        </w:rPr>
        <w:t>, the majority of read pairs were neglected as only one read mate covered the deleted gene. If the deleted segment is smaller than the insert size of the read pairs, the deletion can be detected. In contrast, amplification are easier to detect with a read-pair approach due to more read pairs that can be considered. Concerning the read depth approach, a deletion leads to an obvious change of coverage. The total length of the mutated sequence reduces to 1/CN in the aligned genome. A coverage approach works better for segment lengths that exceed the genome-wide noise of coverage variation.</w:t>
      </w:r>
    </w:p>
    <w:p>
      <w:pPr>
        <w:pageBreakBefore w:val="0"/>
        <w:kinsoku/>
        <w:wordWrap/>
        <w:overflowPunct/>
        <w:topLinePunct w:val="0"/>
        <w:autoSpaceDE/>
        <w:autoSpaceDN/>
        <w:bidi w:val="0"/>
        <w:adjustRightInd/>
        <w:spacing w:line="480" w:lineRule="auto"/>
        <w:jc w:val="both"/>
        <w:textAlignment w:val="auto"/>
        <w:rPr>
          <w:rFonts w:ascii="Times New Roman" w:hAnsi="Times New Roman" w:eastAsia="Times New Roman" w:cs="Times New Roman"/>
        </w:rPr>
      </w:pPr>
    </w:p>
    <w:p>
      <w:pPr>
        <w:pStyle w:val="4"/>
        <w:keepNext/>
        <w:keepLines w:val="0"/>
        <w:pageBreakBefore w:val="0"/>
        <w:kinsoku/>
        <w:wordWrap/>
        <w:overflowPunct/>
        <w:topLinePunct w:val="0"/>
        <w:autoSpaceDE/>
        <w:autoSpaceDN/>
        <w:bidi w:val="0"/>
        <w:adjustRightInd/>
        <w:spacing w:before="0" w:after="0" w:line="480" w:lineRule="auto"/>
        <w:textAlignment w:val="auto"/>
        <w:rPr>
          <w:rFonts w:ascii="Times New Roman" w:hAnsi="Times New Roman" w:eastAsia="Times New Roman" w:cs="Times New Roman"/>
          <w:b/>
          <w:sz w:val="34"/>
          <w:szCs w:val="34"/>
        </w:rPr>
      </w:pPr>
      <w:bookmarkStart w:id="1" w:name="_oh56ofp9hdhg"/>
      <w:bookmarkEnd w:id="1"/>
      <w:r>
        <w:rPr>
          <w:rFonts w:ascii="Times New Roman" w:hAnsi="Times New Roman" w:eastAsia="Times New Roman" w:cs="Times New Roman"/>
          <w:b/>
          <w:sz w:val="34"/>
          <w:szCs w:val="34"/>
        </w:rPr>
        <w:t>Cosmic</w:t>
      </w:r>
    </w:p>
    <w:p>
      <w:pPr>
        <w:pageBreakBefore w:val="0"/>
        <w:kinsoku/>
        <w:wordWrap/>
        <w:overflowPunct/>
        <w:topLinePunct w:val="0"/>
        <w:autoSpaceDE/>
        <w:autoSpaceDN/>
        <w:bidi w:val="0"/>
        <w:adjustRightInd/>
        <w:spacing w:line="480" w:lineRule="auto"/>
        <w:textAlignment w:val="auto"/>
      </w:pPr>
      <w:r>
        <w:rPr>
          <w:rFonts w:ascii="Times New Roman" w:hAnsi="Times New Roman" w:eastAsia="Times New Roman" w:cs="Times New Roman"/>
        </w:rPr>
        <w:t>COSMIC is “the catalogue of somatic mutations in cancer” [31] which collects and offers the mutation profiles of cancer cell lines, along with other important information. Especially of interest here is the genome-wide copy number analysis, which was obtained with the Affymetrix SNP6.0 array and analysed with the PICNIC algorithm.</w:t>
      </w:r>
      <w:r>
        <w:rPr>
          <w:rFonts w:ascii="Times New Roman" w:hAnsi="Times New Roman" w:eastAsia="Times New Roman" w:cs="Times New Roman"/>
          <w:b w:val="0"/>
          <w:bCs w:val="0"/>
        </w:rPr>
        <w:t xml:space="preserve"> </w:t>
      </w:r>
      <w:r>
        <w:rPr>
          <w:rFonts w:ascii="Times New Roman" w:hAnsi="Times New Roman" w:eastAsia="Times New Roman" w:cs="Times New Roman"/>
          <w:b w:val="0"/>
          <w:bCs w:val="0"/>
          <w:color w:val="000000"/>
          <w:position w:val="0"/>
          <w:sz w:val="22"/>
          <w:vertAlign w:val="baseline"/>
        </w:rPr>
        <w:t>[34]</w:t>
      </w:r>
      <w:r>
        <w:rPr>
          <w:rFonts w:ascii="Times New Roman" w:hAnsi="Times New Roman" w:eastAsia="Times New Roman" w:cs="Times New Roman"/>
        </w:rPr>
        <w:t>⁠</w:t>
      </w: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p>
    <w:p>
      <w:pPr>
        <w:pageBreakBefore w:val="0"/>
        <w:kinsoku/>
        <w:wordWrap/>
        <w:overflowPunct/>
        <w:topLinePunct w:val="0"/>
        <w:autoSpaceDE/>
        <w:autoSpaceDN/>
        <w:bidi w:val="0"/>
        <w:adjustRightInd/>
        <w:spacing w:line="480" w:lineRule="auto"/>
        <w:textAlignment w:val="auto"/>
      </w:pPr>
      <w:r>
        <w:rPr>
          <w:rFonts w:ascii="Times New Roman" w:hAnsi="Times New Roman" w:eastAsia="Times New Roman" w:cs="Times New Roman"/>
        </w:rPr>
        <w:t>PICNIC is an algorithm specially developed for cancer genomes with an aneuploid nature. It uses the SNP allele signal from Affymetrix genome-wide SNP6.0 array data and predicts “major and minor copy numbers, complex cancer genotypes, homozygous deletion, amplification, and regions of LOH [loss of heterogeneity] with good break-point accuracy” [34]. To complete the task, the algorithm first distinguishes copy number data and genotype intensities, then applies a Bayesian hidden Markov model (HMM) to identify segments with a similar integer allelic copy number.</w:t>
      </w: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p>
    <w:p>
      <w:pPr>
        <w:pageBreakBefore w:val="0"/>
        <w:kinsoku/>
        <w:wordWrap/>
        <w:overflowPunct/>
        <w:topLinePunct w:val="0"/>
        <w:autoSpaceDE/>
        <w:autoSpaceDN/>
        <w:bidi w:val="0"/>
        <w:adjustRightInd/>
        <w:spacing w:line="480" w:lineRule="auto"/>
        <w:textAlignment w:val="auto"/>
      </w:pPr>
      <w:r>
        <w:rPr>
          <w:rFonts w:ascii="Times New Roman" w:hAnsi="Times New Roman" w:eastAsia="Times New Roman" w:cs="Times New Roman"/>
        </w:rPr>
        <w:t>COSMIC applies a filter to only display high-level copy number variations which results in a non-exhaustive range of genes with amplifications or deletions [31].</w:t>
      </w: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r>
        <w:rPr>
          <w:rFonts w:ascii="Times New Roman" w:hAnsi="Times New Roman" w:eastAsia="Times New Roman" w:cs="Times New Roman"/>
        </w:rPr>
        <w:t xml:space="preserve">For each of the five cancer cell lines known amplifications and deletions were downloaded from COSMIC. The list comprises the affected gene, the copy number segment with its stop and start positions, and the segment’s copy number (integer value). </w:t>
      </w: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r>
        <w:rPr>
          <w:rFonts w:ascii="Times New Roman" w:hAnsi="Times New Roman" w:eastAsia="Times New Roman" w:cs="Times New Roman"/>
        </w:rPr>
        <w:t xml:space="preserve">In case a segment did not completely cover a gene length, actual and predicted copy numbers were only compared for this reduced length which is covered by the segment. </w:t>
      </w: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p>
    <w:p>
      <w:pPr>
        <w:pageBreakBefore w:val="0"/>
        <w:kinsoku/>
        <w:wordWrap/>
        <w:overflowPunct/>
        <w:topLinePunct w:val="0"/>
        <w:autoSpaceDE/>
        <w:autoSpaceDN/>
        <w:bidi w:val="0"/>
        <w:adjustRightInd/>
        <w:spacing w:line="480" w:lineRule="auto"/>
        <w:textAlignment w:val="auto"/>
      </w:pPr>
      <w:r>
        <w:rPr>
          <w:rFonts w:ascii="Times New Roman" w:hAnsi="Times New Roman" w:eastAsia="Times New Roman" w:cs="Times New Roman"/>
          <w:b/>
        </w:rPr>
        <w:t xml:space="preserve">Table S1. </w:t>
      </w:r>
      <w:r>
        <w:rPr>
          <w:rFonts w:ascii="Times New Roman" w:hAnsi="Times New Roman" w:eastAsia="Times New Roman" w:cs="Times New Roman"/>
          <w:b w:val="0"/>
          <w:bCs/>
        </w:rPr>
        <w:t>ENA Cancer cell lines accession numbers and links</w:t>
      </w:r>
      <w:r>
        <w:rPr>
          <w:rFonts w:ascii="Times New Roman" w:hAnsi="Times New Roman" w:eastAsia="Times New Roman" w:cs="Times New Roman"/>
          <w:b/>
        </w:rPr>
        <w:t xml:space="preserve"> </w:t>
      </w:r>
      <w:r>
        <w:rPr>
          <w:rFonts w:ascii="Times New Roman" w:hAnsi="Times New Roman" w:eastAsia="Times New Roman" w:cs="Times New Roman"/>
          <w:b w:val="0"/>
          <w:bCs w:val="0"/>
        </w:rPr>
        <w:t>(for Illumina: the BaseSpace project can be added to the account; one might need to register first).</w:t>
      </w:r>
    </w:p>
    <w:tbl>
      <w:tblPr>
        <w:tblStyle w:val="17"/>
        <w:tblW w:w="9315" w:type="dxa"/>
        <w:tblInd w:w="88" w:type="dxa"/>
        <w:tblBorders>
          <w:top w:val="single" w:color="999999" w:sz="4" w:space="0"/>
          <w:left w:val="single" w:color="999999" w:sz="4" w:space="0"/>
          <w:bottom w:val="single" w:color="999999" w:sz="4" w:space="0"/>
          <w:right w:val="single" w:color="999999" w:sz="4" w:space="0"/>
          <w:insideH w:val="single" w:color="999999" w:sz="4" w:space="0"/>
          <w:insideV w:val="single" w:color="999999" w:sz="4" w:space="0"/>
        </w:tblBorders>
        <w:tblLayout w:type="fixed"/>
        <w:tblCellMar>
          <w:top w:w="100" w:type="dxa"/>
          <w:left w:w="95" w:type="dxa"/>
          <w:bottom w:w="100" w:type="dxa"/>
          <w:right w:w="100" w:type="dxa"/>
        </w:tblCellMar>
      </w:tblPr>
      <w:tblGrid>
        <w:gridCol w:w="1440"/>
        <w:gridCol w:w="4244"/>
        <w:gridCol w:w="3631"/>
      </w:tblGrid>
      <w:tr>
        <w:tblPrEx>
          <w:tblBorders>
            <w:top w:val="single" w:color="999999" w:sz="4" w:space="0"/>
            <w:left w:val="single" w:color="999999" w:sz="4" w:space="0"/>
            <w:bottom w:val="single" w:color="999999" w:sz="4" w:space="0"/>
            <w:right w:val="single" w:color="999999" w:sz="4" w:space="0"/>
            <w:insideH w:val="single" w:color="999999" w:sz="4" w:space="0"/>
            <w:insideV w:val="single" w:color="999999" w:sz="4" w:space="0"/>
          </w:tblBorders>
          <w:tblLayout w:type="fixed"/>
          <w:tblCellMar>
            <w:top w:w="100" w:type="dxa"/>
            <w:left w:w="95" w:type="dxa"/>
            <w:bottom w:w="100" w:type="dxa"/>
            <w:right w:w="100" w:type="dxa"/>
          </w:tblCellMar>
        </w:tblPrEx>
        <w:tc>
          <w:tcPr>
            <w:tcW w:w="1440" w:type="dxa"/>
            <w:tcBorders>
              <w:top w:val="single" w:color="999999" w:sz="4" w:space="0"/>
              <w:left w:val="single" w:color="999999" w:sz="4" w:space="0"/>
              <w:bottom w:val="single" w:color="999999" w:sz="4" w:space="0"/>
              <w:right w:val="single" w:color="999999" w:sz="4" w:space="0"/>
              <w:insideH w:val="single" w:sz="4" w:space="0"/>
              <w:insideV w:val="single" w:sz="4" w:space="0"/>
            </w:tcBorders>
            <w:shd w:val="clear" w:color="auto" w:fill="auto"/>
            <w:tcMar>
              <w:left w:w="95" w:type="dxa"/>
            </w:tcMar>
            <w:vAlign w:val="center"/>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Cancer cell line</w:t>
            </w:r>
          </w:p>
        </w:tc>
        <w:tc>
          <w:tcPr>
            <w:tcW w:w="4244" w:type="dxa"/>
            <w:tcBorders>
              <w:top w:val="single" w:color="999999" w:sz="4" w:space="0"/>
              <w:left w:val="single" w:color="999999" w:sz="4" w:space="0"/>
              <w:bottom w:val="single" w:color="999999" w:sz="4" w:space="0"/>
              <w:right w:val="single" w:color="999999" w:sz="4" w:space="0"/>
              <w:insideH w:val="single" w:sz="4" w:space="0"/>
              <w:insideV w:val="single" w:sz="4" w:space="0"/>
            </w:tcBorders>
            <w:shd w:val="clear" w:color="auto" w:fill="auto"/>
            <w:tcMar>
              <w:left w:w="95" w:type="dxa"/>
            </w:tcMar>
            <w:vAlign w:val="center"/>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Accession number</w:t>
            </w:r>
          </w:p>
        </w:tc>
        <w:tc>
          <w:tcPr>
            <w:tcW w:w="3631" w:type="dxa"/>
            <w:tcBorders>
              <w:top w:val="single" w:color="999999" w:sz="4" w:space="0"/>
              <w:left w:val="single" w:color="999999" w:sz="4" w:space="0"/>
              <w:bottom w:val="single" w:color="999999" w:sz="4" w:space="0"/>
              <w:right w:val="single" w:color="999999" w:sz="4" w:space="0"/>
              <w:insideH w:val="single" w:sz="4" w:space="0"/>
              <w:insideV w:val="single" w:sz="4" w:space="0"/>
            </w:tcBorders>
            <w:shd w:val="clear" w:color="auto" w:fill="auto"/>
            <w:tcMar>
              <w:left w:w="95" w:type="dxa"/>
            </w:tcMar>
            <w:vAlign w:val="center"/>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Number of lanes</w:t>
            </w:r>
          </w:p>
        </w:tc>
      </w:tr>
      <w:tr>
        <w:tblPrEx>
          <w:tblBorders>
            <w:top w:val="single" w:color="999999" w:sz="4" w:space="0"/>
            <w:left w:val="single" w:color="999999" w:sz="4" w:space="0"/>
            <w:bottom w:val="single" w:color="999999" w:sz="4" w:space="0"/>
            <w:right w:val="single" w:color="999999" w:sz="4" w:space="0"/>
            <w:insideH w:val="single" w:color="999999" w:sz="4" w:space="0"/>
            <w:insideV w:val="single" w:color="999999" w:sz="4" w:space="0"/>
          </w:tblBorders>
          <w:tblLayout w:type="fixed"/>
          <w:tblCellMar>
            <w:top w:w="100" w:type="dxa"/>
            <w:left w:w="95" w:type="dxa"/>
            <w:bottom w:w="100" w:type="dxa"/>
            <w:right w:w="100" w:type="dxa"/>
          </w:tblCellMar>
        </w:tblPrEx>
        <w:tc>
          <w:tcPr>
            <w:tcW w:w="1440" w:type="dxa"/>
            <w:tcBorders>
              <w:top w:val="single" w:color="999999" w:sz="4" w:space="0"/>
              <w:left w:val="single" w:color="999999" w:sz="4" w:space="0"/>
              <w:bottom w:val="single" w:color="999999" w:sz="4" w:space="0"/>
              <w:right w:val="single" w:color="999999" w:sz="4" w:space="0"/>
              <w:insideH w:val="single" w:sz="4" w:space="0"/>
              <w:insideV w:val="single" w:sz="4" w:space="0"/>
            </w:tcBorders>
            <w:shd w:val="clear" w:color="auto" w:fill="auto"/>
            <w:tcMar>
              <w:left w:w="95" w:type="dxa"/>
            </w:tcMar>
            <w:vAlign w:val="center"/>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 xml:space="preserve">HCC1187 </w:t>
            </w:r>
          </w:p>
        </w:tc>
        <w:tc>
          <w:tcPr>
            <w:tcW w:w="4244" w:type="dxa"/>
            <w:tcBorders>
              <w:top w:val="single" w:color="999999" w:sz="4" w:space="0"/>
              <w:left w:val="single" w:color="999999" w:sz="4" w:space="0"/>
              <w:bottom w:val="single" w:color="999999" w:sz="4" w:space="0"/>
              <w:right w:val="single" w:color="999999" w:sz="4" w:space="0"/>
              <w:insideH w:val="single" w:sz="4" w:space="0"/>
              <w:insideV w:val="single" w:sz="4" w:space="0"/>
            </w:tcBorders>
            <w:shd w:val="clear" w:color="auto" w:fill="auto"/>
            <w:tcMar>
              <w:left w:w="95" w:type="dxa"/>
            </w:tcMar>
            <w:vAlign w:val="center"/>
          </w:tcPr>
          <w:p>
            <w:pPr>
              <w:pageBreakBefore w:val="0"/>
              <w:widowControl w:val="0"/>
              <w:kinsoku/>
              <w:wordWrap/>
              <w:overflowPunct/>
              <w:topLinePunct w:val="0"/>
              <w:autoSpaceDE/>
              <w:autoSpaceDN/>
              <w:bidi w:val="0"/>
              <w:adjustRightInd/>
              <w:spacing w:line="240" w:lineRule="auto"/>
              <w:textAlignment w:val="auto"/>
            </w:pPr>
            <w:r>
              <w:fldChar w:fldCharType="begin"/>
            </w:r>
            <w:r>
              <w:instrText xml:space="preserve"> HYPERLINK "https://basemount.basespace.illumina.com/" \h </w:instrText>
            </w:r>
            <w:r>
              <w:fldChar w:fldCharType="separate"/>
            </w:r>
            <w:r>
              <w:rPr>
                <w:rStyle w:val="72"/>
                <w:rFonts w:ascii="Times New Roman" w:hAnsi="Times New Roman" w:eastAsia="Times New Roman" w:cs="Times New Roman"/>
                <w:u w:val="single"/>
              </w:rPr>
              <w:t>https://basemount.basespace.illumina.com</w:t>
            </w:r>
            <w:r>
              <w:rPr>
                <w:rStyle w:val="72"/>
                <w:rFonts w:ascii="Times New Roman" w:hAnsi="Times New Roman" w:eastAsia="Times New Roman" w:cs="Times New Roman"/>
                <w:u w:val="single"/>
              </w:rPr>
              <w:fldChar w:fldCharType="end"/>
            </w:r>
          </w:p>
        </w:tc>
        <w:tc>
          <w:tcPr>
            <w:tcW w:w="3631" w:type="dxa"/>
            <w:tcBorders>
              <w:top w:val="single" w:color="999999" w:sz="4" w:space="0"/>
              <w:left w:val="single" w:color="999999" w:sz="4" w:space="0"/>
              <w:bottom w:val="single" w:color="999999" w:sz="4" w:space="0"/>
              <w:right w:val="single" w:color="999999" w:sz="4" w:space="0"/>
              <w:insideH w:val="single" w:sz="4" w:space="0"/>
              <w:insideV w:val="single" w:sz="4" w:space="0"/>
            </w:tcBorders>
            <w:shd w:val="clear" w:color="auto" w:fill="auto"/>
            <w:tcMar>
              <w:left w:w="95" w:type="dxa"/>
            </w:tcMar>
            <w:vAlign w:val="center"/>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unknown; downloaded from Illumina already in aligned format (*.bam)</w:t>
            </w:r>
          </w:p>
        </w:tc>
      </w:tr>
      <w:tr>
        <w:tblPrEx>
          <w:tblBorders>
            <w:top w:val="single" w:color="999999" w:sz="4" w:space="0"/>
            <w:left w:val="single" w:color="999999" w:sz="4" w:space="0"/>
            <w:bottom w:val="single" w:color="999999" w:sz="4" w:space="0"/>
            <w:right w:val="single" w:color="999999" w:sz="4" w:space="0"/>
            <w:insideH w:val="single" w:color="999999" w:sz="4" w:space="0"/>
            <w:insideV w:val="single" w:color="999999" w:sz="4" w:space="0"/>
          </w:tblBorders>
          <w:tblLayout w:type="fixed"/>
          <w:tblCellMar>
            <w:top w:w="100" w:type="dxa"/>
            <w:left w:w="95" w:type="dxa"/>
            <w:bottom w:w="100" w:type="dxa"/>
            <w:right w:w="100" w:type="dxa"/>
          </w:tblCellMar>
        </w:tblPrEx>
        <w:tc>
          <w:tcPr>
            <w:tcW w:w="1440" w:type="dxa"/>
            <w:tcBorders>
              <w:top w:val="single" w:color="999999" w:sz="4" w:space="0"/>
              <w:left w:val="single" w:color="999999" w:sz="4" w:space="0"/>
              <w:bottom w:val="single" w:color="999999" w:sz="4" w:space="0"/>
              <w:right w:val="single" w:color="999999" w:sz="4" w:space="0"/>
              <w:insideH w:val="single" w:sz="4" w:space="0"/>
              <w:insideV w:val="single" w:sz="4" w:space="0"/>
            </w:tcBorders>
            <w:shd w:val="clear" w:color="auto" w:fill="auto"/>
            <w:tcMar>
              <w:left w:w="95" w:type="dxa"/>
            </w:tcMar>
            <w:vAlign w:val="center"/>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 xml:space="preserve">HCC1187BL </w:t>
            </w:r>
          </w:p>
        </w:tc>
        <w:tc>
          <w:tcPr>
            <w:tcW w:w="4244" w:type="dxa"/>
            <w:tcBorders>
              <w:top w:val="single" w:color="999999" w:sz="4" w:space="0"/>
              <w:left w:val="single" w:color="999999" w:sz="4" w:space="0"/>
              <w:bottom w:val="single" w:color="999999" w:sz="4" w:space="0"/>
              <w:right w:val="single" w:color="999999" w:sz="4" w:space="0"/>
              <w:insideH w:val="single" w:sz="4" w:space="0"/>
              <w:insideV w:val="single" w:sz="4" w:space="0"/>
            </w:tcBorders>
            <w:shd w:val="clear" w:color="auto" w:fill="auto"/>
            <w:tcMar>
              <w:left w:w="95" w:type="dxa"/>
            </w:tcMar>
            <w:vAlign w:val="center"/>
          </w:tcPr>
          <w:p>
            <w:pPr>
              <w:pageBreakBefore w:val="0"/>
              <w:widowControl w:val="0"/>
              <w:kinsoku/>
              <w:wordWrap/>
              <w:overflowPunct/>
              <w:topLinePunct w:val="0"/>
              <w:autoSpaceDE/>
              <w:autoSpaceDN/>
              <w:bidi w:val="0"/>
              <w:adjustRightInd/>
              <w:spacing w:line="240" w:lineRule="auto"/>
              <w:textAlignment w:val="auto"/>
            </w:pPr>
            <w:r>
              <w:fldChar w:fldCharType="begin"/>
            </w:r>
            <w:r>
              <w:instrText xml:space="preserve"> HYPERLINK "https://basemount.basespace.illumina.com/" \h </w:instrText>
            </w:r>
            <w:r>
              <w:fldChar w:fldCharType="separate"/>
            </w:r>
            <w:r>
              <w:rPr>
                <w:rStyle w:val="72"/>
                <w:rFonts w:ascii="Times New Roman" w:hAnsi="Times New Roman" w:eastAsia="Times New Roman" w:cs="Times New Roman"/>
                <w:u w:val="single"/>
              </w:rPr>
              <w:t>https://basemount.basespace.illumina.com</w:t>
            </w:r>
            <w:r>
              <w:rPr>
                <w:rStyle w:val="72"/>
                <w:rFonts w:ascii="Times New Roman" w:hAnsi="Times New Roman" w:eastAsia="Times New Roman" w:cs="Times New Roman"/>
                <w:u w:val="single"/>
              </w:rPr>
              <w:fldChar w:fldCharType="end"/>
            </w:r>
          </w:p>
        </w:tc>
        <w:tc>
          <w:tcPr>
            <w:tcW w:w="3631" w:type="dxa"/>
            <w:tcBorders>
              <w:top w:val="single" w:color="999999" w:sz="4" w:space="0"/>
              <w:left w:val="single" w:color="999999" w:sz="4" w:space="0"/>
              <w:bottom w:val="single" w:color="999999" w:sz="4" w:space="0"/>
              <w:right w:val="single" w:color="999999" w:sz="4" w:space="0"/>
              <w:insideH w:val="single" w:sz="4" w:space="0"/>
              <w:insideV w:val="single" w:sz="4" w:space="0"/>
            </w:tcBorders>
            <w:shd w:val="clear" w:color="auto" w:fill="auto"/>
            <w:tcMar>
              <w:left w:w="95" w:type="dxa"/>
            </w:tcMar>
            <w:vAlign w:val="center"/>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unknown; downloaded from Illumina already in aligned format (*.bam)</w:t>
            </w:r>
          </w:p>
        </w:tc>
      </w:tr>
      <w:tr>
        <w:tblPrEx>
          <w:tblBorders>
            <w:top w:val="single" w:color="999999" w:sz="4" w:space="0"/>
            <w:left w:val="single" w:color="999999" w:sz="4" w:space="0"/>
            <w:bottom w:val="single" w:color="999999" w:sz="4" w:space="0"/>
            <w:right w:val="single" w:color="999999" w:sz="4" w:space="0"/>
            <w:insideH w:val="single" w:color="999999" w:sz="4" w:space="0"/>
            <w:insideV w:val="single" w:color="999999" w:sz="4" w:space="0"/>
          </w:tblBorders>
          <w:tblLayout w:type="fixed"/>
          <w:tblCellMar>
            <w:top w:w="100" w:type="dxa"/>
            <w:left w:w="95" w:type="dxa"/>
            <w:bottom w:w="100" w:type="dxa"/>
            <w:right w:w="100" w:type="dxa"/>
          </w:tblCellMar>
        </w:tblPrEx>
        <w:tc>
          <w:tcPr>
            <w:tcW w:w="1440" w:type="dxa"/>
            <w:tcBorders>
              <w:top w:val="single" w:color="999999" w:sz="4" w:space="0"/>
              <w:left w:val="single" w:color="999999" w:sz="4" w:space="0"/>
              <w:bottom w:val="single" w:color="999999" w:sz="4" w:space="0"/>
              <w:right w:val="single" w:color="999999" w:sz="4" w:space="0"/>
              <w:insideH w:val="single" w:sz="4" w:space="0"/>
              <w:insideV w:val="single" w:sz="4" w:space="0"/>
            </w:tcBorders>
            <w:shd w:val="clear" w:color="auto" w:fill="auto"/>
            <w:tcMar>
              <w:left w:w="95" w:type="dxa"/>
            </w:tcMar>
            <w:vAlign w:val="center"/>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HCC2218</w:t>
            </w:r>
          </w:p>
        </w:tc>
        <w:tc>
          <w:tcPr>
            <w:tcW w:w="4244" w:type="dxa"/>
            <w:tcBorders>
              <w:top w:val="single" w:color="999999" w:sz="4" w:space="0"/>
              <w:left w:val="single" w:color="999999" w:sz="4" w:space="0"/>
              <w:bottom w:val="single" w:color="999999" w:sz="4" w:space="0"/>
              <w:right w:val="single" w:color="999999" w:sz="4" w:space="0"/>
              <w:insideH w:val="single" w:sz="4" w:space="0"/>
              <w:insideV w:val="single" w:sz="4" w:space="0"/>
            </w:tcBorders>
            <w:shd w:val="clear" w:color="auto" w:fill="auto"/>
            <w:tcMar>
              <w:left w:w="95" w:type="dxa"/>
            </w:tcMar>
            <w:vAlign w:val="center"/>
          </w:tcPr>
          <w:p>
            <w:pPr>
              <w:pageBreakBefore w:val="0"/>
              <w:widowControl w:val="0"/>
              <w:kinsoku/>
              <w:wordWrap/>
              <w:overflowPunct/>
              <w:topLinePunct w:val="0"/>
              <w:autoSpaceDE/>
              <w:autoSpaceDN/>
              <w:bidi w:val="0"/>
              <w:adjustRightInd/>
              <w:spacing w:line="240" w:lineRule="auto"/>
              <w:textAlignment w:val="auto"/>
            </w:pPr>
            <w:r>
              <w:fldChar w:fldCharType="begin"/>
            </w:r>
            <w:r>
              <w:instrText xml:space="preserve"> HYPERLINK "https://basemount.basespace.illumina.com/" \h </w:instrText>
            </w:r>
            <w:r>
              <w:fldChar w:fldCharType="separate"/>
            </w:r>
            <w:r>
              <w:rPr>
                <w:rStyle w:val="72"/>
                <w:rFonts w:ascii="Times New Roman" w:hAnsi="Times New Roman" w:eastAsia="Times New Roman" w:cs="Times New Roman"/>
                <w:u w:val="single"/>
              </w:rPr>
              <w:t>https://basemount.basespace.illumina.com</w:t>
            </w:r>
            <w:r>
              <w:rPr>
                <w:rStyle w:val="72"/>
                <w:rFonts w:ascii="Times New Roman" w:hAnsi="Times New Roman" w:eastAsia="Times New Roman" w:cs="Times New Roman"/>
                <w:u w:val="single"/>
              </w:rPr>
              <w:fldChar w:fldCharType="end"/>
            </w:r>
          </w:p>
        </w:tc>
        <w:tc>
          <w:tcPr>
            <w:tcW w:w="3631" w:type="dxa"/>
            <w:tcBorders>
              <w:top w:val="single" w:color="999999" w:sz="4" w:space="0"/>
              <w:left w:val="single" w:color="999999" w:sz="4" w:space="0"/>
              <w:bottom w:val="single" w:color="999999" w:sz="4" w:space="0"/>
              <w:right w:val="single" w:color="999999" w:sz="4" w:space="0"/>
              <w:insideH w:val="single" w:sz="4" w:space="0"/>
              <w:insideV w:val="single" w:sz="4" w:space="0"/>
            </w:tcBorders>
            <w:shd w:val="clear" w:color="auto" w:fill="auto"/>
            <w:tcMar>
              <w:left w:w="95" w:type="dxa"/>
            </w:tcMar>
            <w:vAlign w:val="center"/>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unknown; downloaded from Illumina already in aligned format (*.bam)</w:t>
            </w:r>
          </w:p>
        </w:tc>
      </w:tr>
      <w:tr>
        <w:tblPrEx>
          <w:tblBorders>
            <w:top w:val="single" w:color="999999" w:sz="4" w:space="0"/>
            <w:left w:val="single" w:color="999999" w:sz="4" w:space="0"/>
            <w:bottom w:val="single" w:color="999999" w:sz="4" w:space="0"/>
            <w:right w:val="single" w:color="999999" w:sz="4" w:space="0"/>
            <w:insideH w:val="single" w:color="999999" w:sz="4" w:space="0"/>
            <w:insideV w:val="single" w:color="999999" w:sz="4" w:space="0"/>
          </w:tblBorders>
          <w:tblLayout w:type="fixed"/>
          <w:tblCellMar>
            <w:top w:w="100" w:type="dxa"/>
            <w:left w:w="95" w:type="dxa"/>
            <w:bottom w:w="100" w:type="dxa"/>
            <w:right w:w="100" w:type="dxa"/>
          </w:tblCellMar>
        </w:tblPrEx>
        <w:tc>
          <w:tcPr>
            <w:tcW w:w="1440" w:type="dxa"/>
            <w:tcBorders>
              <w:top w:val="single" w:color="999999" w:sz="4" w:space="0"/>
              <w:left w:val="single" w:color="999999" w:sz="4" w:space="0"/>
              <w:bottom w:val="single" w:color="999999" w:sz="4" w:space="0"/>
              <w:right w:val="single" w:color="999999" w:sz="4" w:space="0"/>
              <w:insideH w:val="single" w:sz="4" w:space="0"/>
              <w:insideV w:val="single" w:sz="4" w:space="0"/>
            </w:tcBorders>
            <w:shd w:val="clear" w:color="auto" w:fill="auto"/>
            <w:tcMar>
              <w:left w:w="95" w:type="dxa"/>
            </w:tcMar>
            <w:vAlign w:val="center"/>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HCC2218BL</w:t>
            </w:r>
          </w:p>
        </w:tc>
        <w:tc>
          <w:tcPr>
            <w:tcW w:w="4244" w:type="dxa"/>
            <w:tcBorders>
              <w:top w:val="single" w:color="999999" w:sz="4" w:space="0"/>
              <w:left w:val="single" w:color="999999" w:sz="4" w:space="0"/>
              <w:bottom w:val="single" w:color="999999" w:sz="4" w:space="0"/>
              <w:right w:val="single" w:color="999999" w:sz="4" w:space="0"/>
              <w:insideH w:val="single" w:sz="4" w:space="0"/>
              <w:insideV w:val="single" w:sz="4" w:space="0"/>
            </w:tcBorders>
            <w:shd w:val="clear" w:color="auto" w:fill="auto"/>
            <w:tcMar>
              <w:left w:w="95" w:type="dxa"/>
            </w:tcMar>
            <w:vAlign w:val="center"/>
          </w:tcPr>
          <w:p>
            <w:pPr>
              <w:pageBreakBefore w:val="0"/>
              <w:widowControl w:val="0"/>
              <w:kinsoku/>
              <w:wordWrap/>
              <w:overflowPunct/>
              <w:topLinePunct w:val="0"/>
              <w:autoSpaceDE/>
              <w:autoSpaceDN/>
              <w:bidi w:val="0"/>
              <w:adjustRightInd/>
              <w:spacing w:line="240" w:lineRule="auto"/>
              <w:textAlignment w:val="auto"/>
            </w:pPr>
            <w:r>
              <w:fldChar w:fldCharType="begin"/>
            </w:r>
            <w:r>
              <w:instrText xml:space="preserve"> HYPERLINK "https://basemount.basespace.illumina.com/" \h </w:instrText>
            </w:r>
            <w:r>
              <w:fldChar w:fldCharType="separate"/>
            </w:r>
            <w:r>
              <w:rPr>
                <w:rStyle w:val="72"/>
                <w:rFonts w:ascii="Times New Roman" w:hAnsi="Times New Roman" w:eastAsia="Times New Roman" w:cs="Times New Roman"/>
                <w:u w:val="single"/>
              </w:rPr>
              <w:t>https://basemount.basespace.illumina.com</w:t>
            </w:r>
            <w:r>
              <w:rPr>
                <w:rStyle w:val="72"/>
                <w:rFonts w:ascii="Times New Roman" w:hAnsi="Times New Roman" w:eastAsia="Times New Roman" w:cs="Times New Roman"/>
                <w:u w:val="single"/>
              </w:rPr>
              <w:fldChar w:fldCharType="end"/>
            </w:r>
          </w:p>
        </w:tc>
        <w:tc>
          <w:tcPr>
            <w:tcW w:w="3631" w:type="dxa"/>
            <w:tcBorders>
              <w:top w:val="single" w:color="999999" w:sz="4" w:space="0"/>
              <w:left w:val="single" w:color="999999" w:sz="4" w:space="0"/>
              <w:bottom w:val="single" w:color="999999" w:sz="4" w:space="0"/>
              <w:right w:val="single" w:color="999999" w:sz="4" w:space="0"/>
              <w:insideH w:val="single" w:sz="4" w:space="0"/>
              <w:insideV w:val="single" w:sz="4" w:space="0"/>
            </w:tcBorders>
            <w:shd w:val="clear" w:color="auto" w:fill="auto"/>
            <w:tcMar>
              <w:left w:w="95" w:type="dxa"/>
            </w:tcMar>
            <w:vAlign w:val="center"/>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unknown; downloaded from Illumina already in aligned format (*.bam)</w:t>
            </w:r>
          </w:p>
        </w:tc>
      </w:tr>
      <w:tr>
        <w:tblPrEx>
          <w:tblBorders>
            <w:top w:val="single" w:color="999999" w:sz="4" w:space="0"/>
            <w:left w:val="single" w:color="999999" w:sz="4" w:space="0"/>
            <w:bottom w:val="single" w:color="999999" w:sz="4" w:space="0"/>
            <w:right w:val="single" w:color="999999" w:sz="4" w:space="0"/>
            <w:insideH w:val="single" w:color="999999" w:sz="4" w:space="0"/>
            <w:insideV w:val="single" w:color="999999" w:sz="4" w:space="0"/>
          </w:tblBorders>
          <w:tblLayout w:type="fixed"/>
          <w:tblCellMar>
            <w:top w:w="100" w:type="dxa"/>
            <w:left w:w="95" w:type="dxa"/>
            <w:bottom w:w="100" w:type="dxa"/>
            <w:right w:w="100" w:type="dxa"/>
          </w:tblCellMar>
        </w:tblPrEx>
        <w:tc>
          <w:tcPr>
            <w:tcW w:w="1440" w:type="dxa"/>
            <w:tcBorders>
              <w:top w:val="single" w:color="999999" w:sz="4" w:space="0"/>
              <w:left w:val="single" w:color="999999" w:sz="4" w:space="0"/>
              <w:bottom w:val="single" w:color="999999" w:sz="4" w:space="0"/>
              <w:right w:val="single" w:color="999999" w:sz="4" w:space="0"/>
              <w:insideH w:val="single" w:sz="4" w:space="0"/>
              <w:insideV w:val="single" w:sz="4" w:space="0"/>
            </w:tcBorders>
            <w:shd w:val="clear" w:color="auto" w:fill="auto"/>
            <w:tcMar>
              <w:left w:w="95" w:type="dxa"/>
            </w:tcMar>
            <w:vAlign w:val="center"/>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MCF7</w:t>
            </w:r>
          </w:p>
        </w:tc>
        <w:tc>
          <w:tcPr>
            <w:tcW w:w="4244" w:type="dxa"/>
            <w:tcBorders>
              <w:top w:val="single" w:color="999999" w:sz="4" w:space="0"/>
              <w:left w:val="single" w:color="999999" w:sz="4" w:space="0"/>
              <w:bottom w:val="single" w:color="999999" w:sz="4" w:space="0"/>
              <w:right w:val="single" w:color="999999" w:sz="4" w:space="0"/>
              <w:insideH w:val="single" w:sz="4" w:space="0"/>
              <w:insideV w:val="single" w:sz="4" w:space="0"/>
            </w:tcBorders>
            <w:shd w:val="clear" w:color="auto" w:fill="auto"/>
            <w:tcMar>
              <w:left w:w="95" w:type="dxa"/>
            </w:tcMar>
            <w:vAlign w:val="center"/>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fldChar w:fldCharType="begin"/>
            </w:r>
            <w:r>
              <w:rPr>
                <w:rFonts w:ascii="Times New Roman" w:hAnsi="Times New Roman" w:eastAsia="Times New Roman" w:cs="Times New Roman"/>
              </w:rPr>
              <w:instrText xml:space="preserve"> HYPERLINK "https://www.ebi.ac.uk/ena/data/view/PRJNA317928" </w:instrText>
            </w:r>
            <w:r>
              <w:rPr>
                <w:rFonts w:ascii="Times New Roman" w:hAnsi="Times New Roman" w:eastAsia="Times New Roman" w:cs="Times New Roman"/>
              </w:rPr>
              <w:fldChar w:fldCharType="separate"/>
            </w:r>
            <w:r>
              <w:rPr>
                <w:rStyle w:val="16"/>
                <w:rFonts w:ascii="Times New Roman" w:hAnsi="Times New Roman" w:eastAsia="Times New Roman" w:cs="Times New Roman"/>
              </w:rPr>
              <w:t>PRJNA317928</w:t>
            </w:r>
            <w:r>
              <w:rPr>
                <w:rFonts w:ascii="Times New Roman" w:hAnsi="Times New Roman" w:eastAsia="Times New Roman" w:cs="Times New Roman"/>
              </w:rPr>
              <w:fldChar w:fldCharType="end"/>
            </w:r>
          </w:p>
        </w:tc>
        <w:tc>
          <w:tcPr>
            <w:tcW w:w="3631" w:type="dxa"/>
            <w:tcBorders>
              <w:top w:val="single" w:color="999999" w:sz="4" w:space="0"/>
              <w:left w:val="single" w:color="999999" w:sz="4" w:space="0"/>
              <w:bottom w:val="single" w:color="999999" w:sz="4" w:space="0"/>
              <w:right w:val="single" w:color="999999" w:sz="4" w:space="0"/>
              <w:insideH w:val="single" w:sz="4" w:space="0"/>
              <w:insideV w:val="single" w:sz="4" w:space="0"/>
            </w:tcBorders>
            <w:shd w:val="clear" w:color="auto" w:fill="auto"/>
            <w:tcMar>
              <w:left w:w="95" w:type="dxa"/>
            </w:tcMar>
            <w:vAlign w:val="center"/>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1 lane</w:t>
            </w:r>
          </w:p>
        </w:tc>
      </w:tr>
      <w:tr>
        <w:tblPrEx>
          <w:tblBorders>
            <w:top w:val="single" w:color="999999" w:sz="4" w:space="0"/>
            <w:left w:val="single" w:color="999999" w:sz="4" w:space="0"/>
            <w:bottom w:val="single" w:color="999999" w:sz="4" w:space="0"/>
            <w:right w:val="single" w:color="999999" w:sz="4" w:space="0"/>
            <w:insideH w:val="single" w:color="999999" w:sz="4" w:space="0"/>
            <w:insideV w:val="single" w:color="999999" w:sz="4" w:space="0"/>
          </w:tblBorders>
          <w:tblLayout w:type="fixed"/>
          <w:tblCellMar>
            <w:top w:w="100" w:type="dxa"/>
            <w:left w:w="95" w:type="dxa"/>
            <w:bottom w:w="100" w:type="dxa"/>
            <w:right w:w="100" w:type="dxa"/>
          </w:tblCellMar>
        </w:tblPrEx>
        <w:tc>
          <w:tcPr>
            <w:tcW w:w="1440" w:type="dxa"/>
            <w:tcBorders>
              <w:top w:val="single" w:color="999999" w:sz="4" w:space="0"/>
              <w:left w:val="single" w:color="999999" w:sz="4" w:space="0"/>
              <w:bottom w:val="single" w:color="999999" w:sz="4" w:space="0"/>
              <w:right w:val="single" w:color="999999" w:sz="4" w:space="0"/>
              <w:insideH w:val="single" w:sz="4" w:space="0"/>
              <w:insideV w:val="single" w:sz="4" w:space="0"/>
            </w:tcBorders>
            <w:shd w:val="clear" w:color="auto" w:fill="auto"/>
            <w:tcMar>
              <w:left w:w="95" w:type="dxa"/>
            </w:tcMar>
            <w:vAlign w:val="center"/>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PC3</w:t>
            </w:r>
          </w:p>
        </w:tc>
        <w:tc>
          <w:tcPr>
            <w:tcW w:w="4244" w:type="dxa"/>
            <w:tcBorders>
              <w:top w:val="single" w:color="999999" w:sz="4" w:space="0"/>
              <w:left w:val="single" w:color="999999" w:sz="4" w:space="0"/>
              <w:bottom w:val="single" w:color="999999" w:sz="4" w:space="0"/>
              <w:right w:val="single" w:color="999999" w:sz="4" w:space="0"/>
              <w:insideH w:val="single" w:sz="4" w:space="0"/>
              <w:insideV w:val="single" w:sz="4" w:space="0"/>
            </w:tcBorders>
            <w:shd w:val="clear" w:color="auto" w:fill="auto"/>
            <w:tcMar>
              <w:left w:w="95" w:type="dxa"/>
            </w:tcMar>
            <w:vAlign w:val="center"/>
          </w:tcPr>
          <w:p>
            <w:pPr>
              <w:pageBreakBefore w:val="0"/>
              <w:widowControl w:val="0"/>
              <w:kinsoku/>
              <w:wordWrap/>
              <w:overflowPunct/>
              <w:topLinePunct w:val="0"/>
              <w:autoSpaceDE/>
              <w:autoSpaceDN/>
              <w:bidi w:val="0"/>
              <w:adjustRightInd/>
              <w:spacing w:line="240" w:lineRule="auto"/>
              <w:textAlignment w:val="auto"/>
            </w:pPr>
            <w:r>
              <w:fldChar w:fldCharType="begin"/>
            </w:r>
            <w:r>
              <w:instrText xml:space="preserve"> HYPERLINK "https://www.ebi.ac.uk/ena/data/view/PRJNA361315" \h </w:instrText>
            </w:r>
            <w:r>
              <w:fldChar w:fldCharType="separate"/>
            </w:r>
            <w:r>
              <w:rPr>
                <w:rStyle w:val="72"/>
                <w:rFonts w:ascii="Times New Roman" w:hAnsi="Times New Roman" w:eastAsia="Times New Roman" w:cs="Times New Roman"/>
                <w:u w:val="single"/>
              </w:rPr>
              <w:t>PRJNA361315</w:t>
            </w:r>
            <w:r>
              <w:rPr>
                <w:rStyle w:val="72"/>
                <w:rFonts w:ascii="Times New Roman" w:hAnsi="Times New Roman" w:eastAsia="Times New Roman" w:cs="Times New Roman"/>
                <w:u w:val="single"/>
              </w:rPr>
              <w:fldChar w:fldCharType="end"/>
            </w:r>
          </w:p>
        </w:tc>
        <w:tc>
          <w:tcPr>
            <w:tcW w:w="3631" w:type="dxa"/>
            <w:tcBorders>
              <w:top w:val="single" w:color="999999" w:sz="4" w:space="0"/>
              <w:left w:val="single" w:color="999999" w:sz="4" w:space="0"/>
              <w:bottom w:val="single" w:color="999999" w:sz="4" w:space="0"/>
              <w:right w:val="single" w:color="999999" w:sz="4" w:space="0"/>
              <w:insideH w:val="single" w:sz="4" w:space="0"/>
              <w:insideV w:val="single" w:sz="4" w:space="0"/>
            </w:tcBorders>
            <w:shd w:val="clear" w:color="auto" w:fill="auto"/>
            <w:tcMar>
              <w:left w:w="95" w:type="dxa"/>
            </w:tcMar>
            <w:vAlign w:val="center"/>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4 lanes</w:t>
            </w:r>
          </w:p>
        </w:tc>
      </w:tr>
      <w:tr>
        <w:tblPrEx>
          <w:tblBorders>
            <w:top w:val="single" w:color="999999" w:sz="4" w:space="0"/>
            <w:left w:val="single" w:color="999999" w:sz="4" w:space="0"/>
            <w:bottom w:val="single" w:color="999999" w:sz="4" w:space="0"/>
            <w:right w:val="single" w:color="999999" w:sz="4" w:space="0"/>
            <w:insideH w:val="single" w:color="999999" w:sz="4" w:space="0"/>
            <w:insideV w:val="single" w:color="999999" w:sz="4" w:space="0"/>
          </w:tblBorders>
          <w:tblLayout w:type="fixed"/>
          <w:tblCellMar>
            <w:top w:w="100" w:type="dxa"/>
            <w:left w:w="95" w:type="dxa"/>
            <w:bottom w:w="100" w:type="dxa"/>
            <w:right w:w="100" w:type="dxa"/>
          </w:tblCellMar>
        </w:tblPrEx>
        <w:tc>
          <w:tcPr>
            <w:tcW w:w="1440" w:type="dxa"/>
            <w:tcBorders>
              <w:top w:val="single" w:color="999999" w:sz="4" w:space="0"/>
              <w:left w:val="single" w:color="999999" w:sz="4" w:space="0"/>
              <w:bottom w:val="single" w:color="999999" w:sz="4" w:space="0"/>
              <w:right w:val="single" w:color="999999" w:sz="4" w:space="0"/>
              <w:insideH w:val="single" w:sz="4" w:space="0"/>
              <w:insideV w:val="single" w:sz="4" w:space="0"/>
            </w:tcBorders>
            <w:shd w:val="clear" w:color="auto" w:fill="auto"/>
            <w:tcMar>
              <w:left w:w="95" w:type="dxa"/>
            </w:tcMar>
            <w:vAlign w:val="center"/>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SKBR3 single cell</w:t>
            </w:r>
          </w:p>
        </w:tc>
        <w:tc>
          <w:tcPr>
            <w:tcW w:w="4244" w:type="dxa"/>
            <w:tcBorders>
              <w:top w:val="single" w:color="999999" w:sz="4" w:space="0"/>
              <w:left w:val="single" w:color="999999" w:sz="4" w:space="0"/>
              <w:bottom w:val="single" w:color="999999" w:sz="4" w:space="0"/>
              <w:right w:val="single" w:color="999999" w:sz="4" w:space="0"/>
              <w:insideH w:val="single" w:sz="4" w:space="0"/>
              <w:insideV w:val="single" w:sz="4" w:space="0"/>
            </w:tcBorders>
            <w:shd w:val="clear" w:color="auto" w:fill="auto"/>
            <w:tcMar>
              <w:left w:w="95" w:type="dxa"/>
            </w:tcMar>
            <w:vAlign w:val="center"/>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fldChar w:fldCharType="begin"/>
            </w:r>
            <w:r>
              <w:rPr>
                <w:rFonts w:ascii="Times New Roman" w:hAnsi="Times New Roman" w:eastAsia="Times New Roman" w:cs="Times New Roman"/>
              </w:rPr>
              <w:instrText xml:space="preserve"> HYPERLINK "https://www.ebi.ac.uk/ena/data/view/PRJNA266282" </w:instrText>
            </w:r>
            <w:r>
              <w:rPr>
                <w:rFonts w:ascii="Times New Roman" w:hAnsi="Times New Roman" w:eastAsia="Times New Roman" w:cs="Times New Roman"/>
              </w:rPr>
              <w:fldChar w:fldCharType="separate"/>
            </w:r>
            <w:r>
              <w:rPr>
                <w:rStyle w:val="16"/>
                <w:rFonts w:ascii="Times New Roman" w:hAnsi="Times New Roman" w:eastAsia="Times New Roman" w:cs="Times New Roman"/>
              </w:rPr>
              <w:t>PRJNA266282</w:t>
            </w:r>
            <w:r>
              <w:rPr>
                <w:rFonts w:ascii="Times New Roman" w:hAnsi="Times New Roman" w:eastAsia="Times New Roman" w:cs="Times New Roman"/>
              </w:rPr>
              <w:fldChar w:fldCharType="end"/>
            </w:r>
          </w:p>
        </w:tc>
        <w:tc>
          <w:tcPr>
            <w:tcW w:w="3631" w:type="dxa"/>
            <w:tcBorders>
              <w:top w:val="single" w:color="999999" w:sz="4" w:space="0"/>
              <w:left w:val="single" w:color="999999" w:sz="4" w:space="0"/>
              <w:bottom w:val="single" w:color="999999" w:sz="4" w:space="0"/>
              <w:right w:val="single" w:color="999999" w:sz="4" w:space="0"/>
              <w:insideH w:val="single" w:sz="4" w:space="0"/>
              <w:insideV w:val="single" w:sz="4" w:space="0"/>
            </w:tcBorders>
            <w:shd w:val="clear" w:color="auto" w:fill="auto"/>
            <w:tcMar>
              <w:left w:w="95" w:type="dxa"/>
            </w:tcMar>
            <w:vAlign w:val="center"/>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1 lane per cell</w:t>
            </w:r>
          </w:p>
        </w:tc>
      </w:tr>
    </w:tbl>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color w:val="333333"/>
        </w:rPr>
      </w:pP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r>
        <w:drawing>
          <wp:inline distT="0" distB="0" distL="0" distR="0">
            <wp:extent cx="5943600" cy="3479800"/>
            <wp:effectExtent l="0" t="0" r="0" b="0"/>
            <wp:docPr id="2"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2.png"/>
                    <pic:cNvPicPr>
                      <a:picLocks noChangeAspect="1" noChangeArrowheads="1"/>
                    </pic:cNvPicPr>
                  </pic:nvPicPr>
                  <pic:blipFill>
                    <a:blip r:embed="rId7"/>
                    <a:stretch>
                      <a:fillRect/>
                    </a:stretch>
                  </pic:blipFill>
                  <pic:spPr>
                    <a:xfrm>
                      <a:off x="0" y="0"/>
                      <a:ext cx="5943600" cy="3479800"/>
                    </a:xfrm>
                    <a:prstGeom prst="rect">
                      <a:avLst/>
                    </a:prstGeom>
                  </pic:spPr>
                </pic:pic>
              </a:graphicData>
            </a:graphic>
          </wp:inline>
        </w:drawing>
      </w:r>
    </w:p>
    <w:p>
      <w:pPr>
        <w:pageBreakBefore w:val="0"/>
        <w:kinsoku/>
        <w:wordWrap/>
        <w:overflowPunct/>
        <w:topLinePunct w:val="0"/>
        <w:autoSpaceDE/>
        <w:autoSpaceDN/>
        <w:bidi w:val="0"/>
        <w:adjustRightInd/>
        <w:spacing w:line="480" w:lineRule="auto"/>
        <w:textAlignment w:val="auto"/>
        <w:rPr>
          <w:b w:val="0"/>
          <w:bCs/>
        </w:rPr>
      </w:pPr>
      <w:r>
        <w:rPr>
          <w:rFonts w:ascii="Times New Roman" w:hAnsi="Times New Roman" w:eastAsia="Times New Roman" w:cs="Times New Roman"/>
          <w:b/>
        </w:rPr>
        <w:t xml:space="preserve">Figure S2. </w:t>
      </w:r>
      <w:r>
        <w:rPr>
          <w:rFonts w:ascii="Times New Roman" w:hAnsi="Times New Roman" w:eastAsia="Times New Roman" w:cs="Times New Roman"/>
          <w:b w:val="0"/>
          <w:bCs/>
        </w:rPr>
        <w:t>The distribution of copy numbers per cancer cell line given by COSMIC</w:t>
      </w: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p>
    <w:p>
      <w:pPr>
        <w:pageBreakBefore w:val="0"/>
        <w:kinsoku/>
        <w:wordWrap/>
        <w:overflowPunct/>
        <w:topLinePunct w:val="0"/>
        <w:autoSpaceDE/>
        <w:autoSpaceDN/>
        <w:bidi w:val="0"/>
        <w:adjustRightInd/>
        <w:spacing w:line="480" w:lineRule="auto"/>
        <w:jc w:val="both"/>
        <w:textAlignment w:val="auto"/>
        <w:rPr>
          <w:rFonts w:ascii="Times New Roman" w:hAnsi="Times New Roman" w:eastAsia="Times New Roman" w:cs="Times New Roman"/>
        </w:rPr>
      </w:pPr>
      <w:r>
        <w:drawing>
          <wp:inline distT="0" distB="0" distL="0" distR="0">
            <wp:extent cx="5943600" cy="3365500"/>
            <wp:effectExtent l="0" t="0" r="0" b="0"/>
            <wp:docPr id="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1.png"/>
                    <pic:cNvPicPr>
                      <a:picLocks noChangeAspect="1" noChangeArrowheads="1"/>
                    </pic:cNvPicPr>
                  </pic:nvPicPr>
                  <pic:blipFill>
                    <a:blip r:embed="rId8"/>
                    <a:stretch>
                      <a:fillRect/>
                    </a:stretch>
                  </pic:blipFill>
                  <pic:spPr>
                    <a:xfrm>
                      <a:off x="0" y="0"/>
                      <a:ext cx="5943600" cy="3365500"/>
                    </a:xfrm>
                    <a:prstGeom prst="rect">
                      <a:avLst/>
                    </a:prstGeom>
                  </pic:spPr>
                </pic:pic>
              </a:graphicData>
            </a:graphic>
          </wp:inline>
        </w:drawing>
      </w:r>
    </w:p>
    <w:p>
      <w:pPr>
        <w:pageBreakBefore w:val="0"/>
        <w:kinsoku/>
        <w:wordWrap/>
        <w:overflowPunct/>
        <w:topLinePunct w:val="0"/>
        <w:autoSpaceDE/>
        <w:autoSpaceDN/>
        <w:bidi w:val="0"/>
        <w:adjustRightInd/>
        <w:spacing w:line="480" w:lineRule="auto"/>
        <w:jc w:val="left"/>
        <w:textAlignment w:val="auto"/>
        <w:rPr>
          <w:b w:val="0"/>
          <w:bCs/>
        </w:rPr>
      </w:pPr>
      <w:r>
        <w:rPr>
          <w:rFonts w:ascii="Times New Roman" w:hAnsi="Times New Roman" w:eastAsia="Times New Roman" w:cs="Times New Roman"/>
          <w:b/>
        </w:rPr>
        <w:t xml:space="preserve">Figure S3. </w:t>
      </w:r>
      <w:r>
        <w:rPr>
          <w:rFonts w:ascii="Times New Roman" w:hAnsi="Times New Roman" w:eastAsia="Times New Roman" w:cs="Times New Roman"/>
          <w:b w:val="0"/>
          <w:bCs/>
        </w:rPr>
        <w:t>The distribution of segment lengths per cancer cell line given by COSMIC</w:t>
      </w:r>
    </w:p>
    <w:p>
      <w:pPr>
        <w:pageBreakBefore w:val="0"/>
        <w:kinsoku/>
        <w:wordWrap/>
        <w:overflowPunct/>
        <w:topLinePunct w:val="0"/>
        <w:autoSpaceDE/>
        <w:autoSpaceDN/>
        <w:bidi w:val="0"/>
        <w:adjustRightInd/>
        <w:spacing w:line="480" w:lineRule="auto"/>
        <w:jc w:val="left"/>
        <w:textAlignment w:val="auto"/>
        <w:rPr>
          <w:rFonts w:ascii="Times New Roman" w:hAnsi="Times New Roman" w:eastAsia="Times New Roman" w:cs="Times New Roman"/>
          <w:b/>
        </w:rPr>
      </w:pPr>
    </w:p>
    <w:p>
      <w:pPr>
        <w:pageBreakBefore w:val="0"/>
        <w:kinsoku/>
        <w:wordWrap/>
        <w:overflowPunct/>
        <w:topLinePunct w:val="0"/>
        <w:autoSpaceDE/>
        <w:autoSpaceDN/>
        <w:bidi w:val="0"/>
        <w:adjustRightInd/>
        <w:spacing w:line="480" w:lineRule="auto"/>
        <w:jc w:val="left"/>
        <w:textAlignment w:val="auto"/>
        <w:rPr>
          <w:rFonts w:ascii="Times New Roman" w:hAnsi="Times New Roman" w:eastAsia="Times New Roman" w:cs="Times New Roman"/>
          <w:b/>
        </w:rPr>
      </w:pPr>
      <w:r>
        <w:rPr>
          <w:rFonts w:ascii="Times New Roman" w:hAnsi="Times New Roman" w:eastAsia="Times New Roman" w:cs="Times New Roman"/>
          <w:b/>
        </w:rPr>
        <w:t xml:space="preserve">Table S2. </w:t>
      </w:r>
      <w:r>
        <w:rPr>
          <w:rFonts w:ascii="Times New Roman" w:hAnsi="Times New Roman" w:eastAsia="Times New Roman" w:cs="Times New Roman"/>
          <w:b w:val="0"/>
          <w:bCs/>
        </w:rPr>
        <w:t xml:space="preserve">Numbers of fastq reads and mappability for cancer cell lines MCF7, PC3 and SKBR3. </w:t>
      </w:r>
      <w:r>
        <w:rPr>
          <w:rFonts w:ascii="Times New Roman" w:hAnsi="Times New Roman" w:eastAsia="Times New Roman" w:cs="Times New Roman"/>
        </w:rPr>
        <w:t>HCC1187 and HCC2218 were downloaded from Illumina in an aligned format.</w:t>
      </w:r>
    </w:p>
    <w:tbl>
      <w:tblPr>
        <w:tblStyle w:val="17"/>
        <w:tblW w:w="9345" w:type="dxa"/>
        <w:tblInd w:w="12" w:type="dxa"/>
        <w:tblBorders>
          <w:top w:val="single" w:color="CCCCCC" w:sz="4" w:space="0"/>
          <w:left w:val="single" w:color="CCCCCC" w:sz="4" w:space="0"/>
          <w:bottom w:val="single" w:color="CCCCCC" w:sz="4" w:space="0"/>
          <w:right w:val="single" w:color="CCCCCC" w:sz="4" w:space="0"/>
          <w:insideH w:val="single" w:color="CCCCCC" w:sz="4" w:space="0"/>
          <w:insideV w:val="single" w:color="CCCCCC" w:sz="4" w:space="0"/>
        </w:tblBorders>
        <w:tblLayout w:type="fixed"/>
        <w:tblCellMar>
          <w:top w:w="0" w:type="dxa"/>
          <w:left w:w="-5" w:type="dxa"/>
          <w:bottom w:w="0" w:type="dxa"/>
          <w:right w:w="0" w:type="dxa"/>
        </w:tblCellMar>
      </w:tblPr>
      <w:tblGrid>
        <w:gridCol w:w="3119"/>
        <w:gridCol w:w="2865"/>
        <w:gridCol w:w="3361"/>
      </w:tblGrid>
      <w:tr>
        <w:tblPrEx>
          <w:tblBorders>
            <w:top w:val="single" w:color="CCCCCC" w:sz="4" w:space="0"/>
            <w:left w:val="single" w:color="CCCCCC" w:sz="4" w:space="0"/>
            <w:bottom w:val="single" w:color="CCCCCC" w:sz="4" w:space="0"/>
            <w:right w:val="single" w:color="CCCCCC" w:sz="4" w:space="0"/>
            <w:insideH w:val="single" w:color="CCCCCC" w:sz="4" w:space="0"/>
            <w:insideV w:val="single" w:color="CCCCCC" w:sz="4" w:space="0"/>
          </w:tblBorders>
          <w:tblLayout w:type="fixed"/>
          <w:tblCellMar>
            <w:top w:w="0" w:type="dxa"/>
            <w:left w:w="-5" w:type="dxa"/>
            <w:bottom w:w="0" w:type="dxa"/>
            <w:right w:w="0" w:type="dxa"/>
          </w:tblCellMar>
        </w:tblPrEx>
        <w:tc>
          <w:tcPr>
            <w:tcW w:w="3119"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Lines w:val="0"/>
              <w:pageBreakBefore w:val="0"/>
              <w:widowControl w:val="0"/>
              <w:kinsoku/>
              <w:wordWrap/>
              <w:overflowPunct/>
              <w:topLinePunct w:val="0"/>
              <w:autoSpaceDE/>
              <w:autoSpaceDN/>
              <w:bidi w:val="0"/>
              <w:adjustRightInd/>
              <w:snapToGrid/>
              <w:spacing w:line="480" w:lineRule="auto"/>
              <w:textAlignment w:val="auto"/>
              <w:rPr>
                <w:rFonts w:ascii="Times New Roman" w:hAnsi="Times New Roman" w:eastAsia="Times New Roman" w:cs="Times New Roman"/>
              </w:rPr>
            </w:pPr>
            <w:r>
              <w:rPr>
                <w:rFonts w:ascii="Times New Roman" w:hAnsi="Times New Roman" w:eastAsia="Times New Roman" w:cs="Times New Roman"/>
              </w:rPr>
              <w:t>Cancer cell line</w:t>
            </w:r>
          </w:p>
        </w:tc>
        <w:tc>
          <w:tcPr>
            <w:tcW w:w="286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Lines w:val="0"/>
              <w:pageBreakBefore w:val="0"/>
              <w:widowControl w:val="0"/>
              <w:kinsoku/>
              <w:wordWrap/>
              <w:overflowPunct/>
              <w:topLinePunct w:val="0"/>
              <w:autoSpaceDE/>
              <w:autoSpaceDN/>
              <w:bidi w:val="0"/>
              <w:adjustRightInd/>
              <w:snapToGrid/>
              <w:spacing w:line="480" w:lineRule="auto"/>
              <w:jc w:val="right"/>
              <w:textAlignment w:val="auto"/>
              <w:rPr>
                <w:rFonts w:ascii="Times New Roman" w:hAnsi="Times New Roman" w:eastAsia="Times New Roman" w:cs="Times New Roman"/>
              </w:rPr>
            </w:pPr>
            <w:r>
              <w:rPr>
                <w:rFonts w:ascii="Times New Roman" w:hAnsi="Times New Roman" w:eastAsia="Times New Roman" w:cs="Times New Roman"/>
              </w:rPr>
              <w:t>Number of fastq paired reads</w:t>
            </w:r>
          </w:p>
        </w:tc>
        <w:tc>
          <w:tcPr>
            <w:tcW w:w="3361"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Next/>
              <w:keepLines w:val="0"/>
              <w:pageBreakBefore w:val="0"/>
              <w:widowControl w:val="0"/>
              <w:shd w:val="clear" w:fill="auto"/>
              <w:kinsoku/>
              <w:wordWrap/>
              <w:overflowPunct/>
              <w:topLinePunct w:val="0"/>
              <w:autoSpaceDE/>
              <w:autoSpaceDN/>
              <w:bidi w:val="0"/>
              <w:adjustRightInd/>
              <w:snapToGrid/>
              <w:spacing w:line="480" w:lineRule="auto"/>
              <w:ind w:left="0" w:right="0" w:firstLine="0"/>
              <w:jc w:val="right"/>
              <w:textAlignment w:val="auto"/>
              <w:rPr>
                <w:rFonts w:ascii="Times New Roman" w:hAnsi="Times New Roman" w:eastAsia="Times New Roman" w:cs="Times New Roman"/>
              </w:rPr>
            </w:pPr>
            <w:r>
              <w:rPr>
                <w:rFonts w:ascii="Times New Roman" w:hAnsi="Times New Roman" w:eastAsia="Times New Roman" w:cs="Times New Roman"/>
              </w:rPr>
              <w:t>Mappability with Bowtie2</w:t>
            </w:r>
          </w:p>
        </w:tc>
      </w:tr>
      <w:tr>
        <w:tblPrEx>
          <w:tblBorders>
            <w:top w:val="single" w:color="CCCCCC" w:sz="4" w:space="0"/>
            <w:left w:val="single" w:color="CCCCCC" w:sz="4" w:space="0"/>
            <w:bottom w:val="single" w:color="CCCCCC" w:sz="4" w:space="0"/>
            <w:right w:val="single" w:color="CCCCCC" w:sz="4" w:space="0"/>
            <w:insideH w:val="single" w:color="CCCCCC" w:sz="4" w:space="0"/>
            <w:insideV w:val="single" w:color="CCCCCC" w:sz="4" w:space="0"/>
          </w:tblBorders>
          <w:tblLayout w:type="fixed"/>
          <w:tblCellMar>
            <w:top w:w="0" w:type="dxa"/>
            <w:left w:w="-5" w:type="dxa"/>
            <w:bottom w:w="0" w:type="dxa"/>
            <w:right w:w="0" w:type="dxa"/>
          </w:tblCellMar>
        </w:tblPrEx>
        <w:tc>
          <w:tcPr>
            <w:tcW w:w="3119"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Lines w:val="0"/>
              <w:pageBreakBefore w:val="0"/>
              <w:widowControl w:val="0"/>
              <w:kinsoku/>
              <w:wordWrap/>
              <w:overflowPunct/>
              <w:topLinePunct w:val="0"/>
              <w:autoSpaceDE/>
              <w:autoSpaceDN/>
              <w:bidi w:val="0"/>
              <w:adjustRightInd/>
              <w:snapToGrid/>
              <w:spacing w:line="480" w:lineRule="auto"/>
              <w:textAlignment w:val="auto"/>
              <w:rPr>
                <w:rFonts w:ascii="Times New Roman" w:hAnsi="Times New Roman" w:eastAsia="Times New Roman" w:cs="Times New Roman"/>
              </w:rPr>
            </w:pPr>
            <w:r>
              <w:rPr>
                <w:rFonts w:ascii="Times New Roman" w:hAnsi="Times New Roman" w:eastAsia="Times New Roman" w:cs="Times New Roman"/>
              </w:rPr>
              <w:t>MCF7</w:t>
            </w:r>
          </w:p>
        </w:tc>
        <w:tc>
          <w:tcPr>
            <w:tcW w:w="286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Next/>
              <w:keepLines w:val="0"/>
              <w:pageBreakBefore w:val="0"/>
              <w:widowControl w:val="0"/>
              <w:shd w:val="clear" w:fill="auto"/>
              <w:kinsoku/>
              <w:wordWrap/>
              <w:overflowPunct/>
              <w:topLinePunct w:val="0"/>
              <w:autoSpaceDE/>
              <w:autoSpaceDN/>
              <w:bidi w:val="0"/>
              <w:adjustRightInd/>
              <w:snapToGrid/>
              <w:spacing w:line="480" w:lineRule="auto"/>
              <w:ind w:left="0" w:right="0" w:firstLine="0"/>
              <w:jc w:val="right"/>
              <w:textAlignment w:val="auto"/>
              <w:rPr>
                <w:rFonts w:ascii="Times New Roman" w:hAnsi="Times New Roman" w:eastAsia="Times New Roman" w:cs="Times New Roman"/>
              </w:rPr>
            </w:pPr>
            <w:r>
              <w:rPr>
                <w:rFonts w:ascii="Times New Roman" w:hAnsi="Times New Roman" w:eastAsia="Times New Roman" w:cs="Times New Roman"/>
              </w:rPr>
              <w:t>1,217 Mio</w:t>
            </w:r>
          </w:p>
        </w:tc>
        <w:tc>
          <w:tcPr>
            <w:tcW w:w="3361"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Next/>
              <w:keepLines w:val="0"/>
              <w:pageBreakBefore w:val="0"/>
              <w:widowControl w:val="0"/>
              <w:shd w:val="clear" w:fill="auto"/>
              <w:kinsoku/>
              <w:wordWrap/>
              <w:overflowPunct/>
              <w:topLinePunct w:val="0"/>
              <w:autoSpaceDE/>
              <w:autoSpaceDN/>
              <w:bidi w:val="0"/>
              <w:adjustRightInd/>
              <w:snapToGrid/>
              <w:spacing w:line="480" w:lineRule="auto"/>
              <w:ind w:left="0" w:right="0" w:firstLine="0"/>
              <w:jc w:val="right"/>
              <w:textAlignment w:val="auto"/>
              <w:rPr>
                <w:rFonts w:ascii="Times New Roman" w:hAnsi="Times New Roman" w:eastAsia="Times New Roman" w:cs="Times New Roman"/>
              </w:rPr>
            </w:pPr>
            <w:r>
              <w:rPr>
                <w:rFonts w:ascii="Times New Roman" w:hAnsi="Times New Roman" w:eastAsia="Times New Roman" w:cs="Times New Roman"/>
              </w:rPr>
              <w:t>&gt; 99 %</w:t>
            </w:r>
          </w:p>
        </w:tc>
      </w:tr>
      <w:tr>
        <w:tblPrEx>
          <w:tblBorders>
            <w:top w:val="single" w:color="CCCCCC" w:sz="4" w:space="0"/>
            <w:left w:val="single" w:color="CCCCCC" w:sz="4" w:space="0"/>
            <w:bottom w:val="single" w:color="CCCCCC" w:sz="4" w:space="0"/>
            <w:right w:val="single" w:color="CCCCCC" w:sz="4" w:space="0"/>
            <w:insideH w:val="single" w:color="CCCCCC" w:sz="4" w:space="0"/>
            <w:insideV w:val="single" w:color="CCCCCC" w:sz="4" w:space="0"/>
          </w:tblBorders>
          <w:tblLayout w:type="fixed"/>
          <w:tblCellMar>
            <w:top w:w="0" w:type="dxa"/>
            <w:left w:w="-5" w:type="dxa"/>
            <w:bottom w:w="0" w:type="dxa"/>
            <w:right w:w="0" w:type="dxa"/>
          </w:tblCellMar>
        </w:tblPrEx>
        <w:tc>
          <w:tcPr>
            <w:tcW w:w="3119"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Lines w:val="0"/>
              <w:pageBreakBefore w:val="0"/>
              <w:widowControl w:val="0"/>
              <w:kinsoku/>
              <w:wordWrap/>
              <w:overflowPunct/>
              <w:topLinePunct w:val="0"/>
              <w:autoSpaceDE/>
              <w:autoSpaceDN/>
              <w:bidi w:val="0"/>
              <w:adjustRightInd/>
              <w:snapToGrid/>
              <w:spacing w:line="480" w:lineRule="auto"/>
              <w:textAlignment w:val="auto"/>
              <w:rPr>
                <w:rFonts w:ascii="Times New Roman" w:hAnsi="Times New Roman" w:eastAsia="Times New Roman" w:cs="Times New Roman"/>
              </w:rPr>
            </w:pPr>
            <w:r>
              <w:rPr>
                <w:rFonts w:ascii="Times New Roman" w:hAnsi="Times New Roman" w:eastAsia="Times New Roman" w:cs="Times New Roman"/>
              </w:rPr>
              <w:t>PC3</w:t>
            </w:r>
          </w:p>
        </w:tc>
        <w:tc>
          <w:tcPr>
            <w:tcW w:w="286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Next/>
              <w:keepLines w:val="0"/>
              <w:pageBreakBefore w:val="0"/>
              <w:widowControl w:val="0"/>
              <w:shd w:val="clear" w:fill="auto"/>
              <w:kinsoku/>
              <w:wordWrap/>
              <w:overflowPunct/>
              <w:topLinePunct w:val="0"/>
              <w:autoSpaceDE/>
              <w:autoSpaceDN/>
              <w:bidi w:val="0"/>
              <w:adjustRightInd/>
              <w:snapToGrid/>
              <w:spacing w:line="480" w:lineRule="auto"/>
              <w:ind w:left="0" w:right="0" w:firstLine="0"/>
              <w:jc w:val="right"/>
              <w:textAlignment w:val="auto"/>
              <w:rPr>
                <w:rFonts w:ascii="Times New Roman" w:hAnsi="Times New Roman" w:eastAsia="Times New Roman" w:cs="Times New Roman"/>
              </w:rPr>
            </w:pPr>
            <w:r>
              <w:rPr>
                <w:rFonts w:ascii="Times New Roman" w:hAnsi="Times New Roman" w:eastAsia="Times New Roman" w:cs="Times New Roman"/>
              </w:rPr>
              <w:t xml:space="preserve">800 Mio </w:t>
            </w:r>
          </w:p>
        </w:tc>
        <w:tc>
          <w:tcPr>
            <w:tcW w:w="3361"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Next/>
              <w:keepLines w:val="0"/>
              <w:pageBreakBefore w:val="0"/>
              <w:widowControl w:val="0"/>
              <w:shd w:val="clear" w:fill="auto"/>
              <w:kinsoku/>
              <w:wordWrap/>
              <w:overflowPunct/>
              <w:topLinePunct w:val="0"/>
              <w:autoSpaceDE/>
              <w:autoSpaceDN/>
              <w:bidi w:val="0"/>
              <w:adjustRightInd/>
              <w:snapToGrid/>
              <w:spacing w:line="480" w:lineRule="auto"/>
              <w:ind w:left="0" w:right="0" w:firstLine="0"/>
              <w:jc w:val="right"/>
              <w:textAlignment w:val="auto"/>
              <w:rPr>
                <w:rFonts w:ascii="Times New Roman" w:hAnsi="Times New Roman" w:eastAsia="Times New Roman" w:cs="Times New Roman"/>
              </w:rPr>
            </w:pPr>
            <w:r>
              <w:rPr>
                <w:rFonts w:ascii="Times New Roman" w:hAnsi="Times New Roman" w:eastAsia="Times New Roman" w:cs="Times New Roman"/>
              </w:rPr>
              <w:t xml:space="preserve">&gt; 99 % </w:t>
            </w:r>
          </w:p>
        </w:tc>
      </w:tr>
      <w:tr>
        <w:tblPrEx>
          <w:tblBorders>
            <w:top w:val="single" w:color="CCCCCC" w:sz="4" w:space="0"/>
            <w:left w:val="single" w:color="CCCCCC" w:sz="4" w:space="0"/>
            <w:bottom w:val="single" w:color="CCCCCC" w:sz="4" w:space="0"/>
            <w:right w:val="single" w:color="CCCCCC" w:sz="4" w:space="0"/>
            <w:insideH w:val="single" w:color="CCCCCC" w:sz="4" w:space="0"/>
            <w:insideV w:val="single" w:color="CCCCCC" w:sz="4" w:space="0"/>
          </w:tblBorders>
          <w:tblLayout w:type="fixed"/>
          <w:tblCellMar>
            <w:top w:w="0" w:type="dxa"/>
            <w:left w:w="-5" w:type="dxa"/>
            <w:bottom w:w="0" w:type="dxa"/>
            <w:right w:w="0" w:type="dxa"/>
          </w:tblCellMar>
        </w:tblPrEx>
        <w:tc>
          <w:tcPr>
            <w:tcW w:w="3119"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Lines w:val="0"/>
              <w:pageBreakBefore w:val="0"/>
              <w:widowControl w:val="0"/>
              <w:kinsoku/>
              <w:wordWrap/>
              <w:overflowPunct/>
              <w:topLinePunct w:val="0"/>
              <w:autoSpaceDE/>
              <w:autoSpaceDN/>
              <w:bidi w:val="0"/>
              <w:adjustRightInd/>
              <w:snapToGrid/>
              <w:spacing w:line="480" w:lineRule="auto"/>
              <w:textAlignment w:val="auto"/>
              <w:rPr>
                <w:rFonts w:ascii="Times New Roman" w:hAnsi="Times New Roman" w:eastAsia="Times New Roman" w:cs="Times New Roman"/>
              </w:rPr>
            </w:pPr>
            <w:r>
              <w:rPr>
                <w:rFonts w:ascii="Times New Roman" w:hAnsi="Times New Roman" w:eastAsia="Times New Roman" w:cs="Times New Roman"/>
              </w:rPr>
              <w:t>SKBR3 cell 3</w:t>
            </w:r>
          </w:p>
        </w:tc>
        <w:tc>
          <w:tcPr>
            <w:tcW w:w="286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Lines w:val="0"/>
              <w:pageBreakBefore w:val="0"/>
              <w:widowControl w:val="0"/>
              <w:kinsoku/>
              <w:wordWrap/>
              <w:overflowPunct/>
              <w:topLinePunct w:val="0"/>
              <w:autoSpaceDE/>
              <w:autoSpaceDN/>
              <w:bidi w:val="0"/>
              <w:adjustRightInd/>
              <w:snapToGrid/>
              <w:spacing w:line="480" w:lineRule="auto"/>
              <w:jc w:val="right"/>
              <w:textAlignment w:val="auto"/>
              <w:rPr>
                <w:rFonts w:ascii="Times New Roman" w:hAnsi="Times New Roman" w:eastAsia="Times New Roman" w:cs="Times New Roman"/>
              </w:rPr>
            </w:pPr>
            <w:r>
              <w:rPr>
                <w:rFonts w:ascii="Times New Roman" w:hAnsi="Times New Roman" w:eastAsia="Times New Roman" w:cs="Times New Roman"/>
              </w:rPr>
              <w:t>27.6 Mio</w:t>
            </w:r>
          </w:p>
        </w:tc>
        <w:tc>
          <w:tcPr>
            <w:tcW w:w="3361"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Next/>
              <w:keepLines w:val="0"/>
              <w:pageBreakBefore w:val="0"/>
              <w:widowControl w:val="0"/>
              <w:shd w:val="clear" w:fill="auto"/>
              <w:kinsoku/>
              <w:wordWrap/>
              <w:overflowPunct/>
              <w:topLinePunct w:val="0"/>
              <w:autoSpaceDE/>
              <w:autoSpaceDN/>
              <w:bidi w:val="0"/>
              <w:adjustRightInd/>
              <w:snapToGrid/>
              <w:spacing w:line="480" w:lineRule="auto"/>
              <w:ind w:left="0" w:right="0" w:firstLine="0"/>
              <w:jc w:val="right"/>
              <w:textAlignment w:val="auto"/>
              <w:rPr>
                <w:rFonts w:ascii="Times New Roman" w:hAnsi="Times New Roman" w:eastAsia="Times New Roman" w:cs="Times New Roman"/>
              </w:rPr>
            </w:pPr>
            <w:r>
              <w:rPr>
                <w:rFonts w:ascii="Times New Roman" w:hAnsi="Times New Roman" w:eastAsia="Times New Roman" w:cs="Times New Roman"/>
              </w:rPr>
              <w:t>84 %</w:t>
            </w:r>
          </w:p>
        </w:tc>
      </w:tr>
      <w:tr>
        <w:tblPrEx>
          <w:tblBorders>
            <w:top w:val="single" w:color="CCCCCC" w:sz="4" w:space="0"/>
            <w:left w:val="single" w:color="CCCCCC" w:sz="4" w:space="0"/>
            <w:bottom w:val="single" w:color="CCCCCC" w:sz="4" w:space="0"/>
            <w:right w:val="single" w:color="CCCCCC" w:sz="4" w:space="0"/>
            <w:insideH w:val="single" w:color="CCCCCC" w:sz="4" w:space="0"/>
            <w:insideV w:val="single" w:color="CCCCCC" w:sz="4" w:space="0"/>
          </w:tblBorders>
          <w:tblLayout w:type="fixed"/>
          <w:tblCellMar>
            <w:top w:w="0" w:type="dxa"/>
            <w:left w:w="-5" w:type="dxa"/>
            <w:bottom w:w="0" w:type="dxa"/>
            <w:right w:w="0" w:type="dxa"/>
          </w:tblCellMar>
        </w:tblPrEx>
        <w:tc>
          <w:tcPr>
            <w:tcW w:w="3119"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Lines w:val="0"/>
              <w:pageBreakBefore w:val="0"/>
              <w:widowControl w:val="0"/>
              <w:kinsoku/>
              <w:wordWrap/>
              <w:overflowPunct/>
              <w:topLinePunct w:val="0"/>
              <w:autoSpaceDE/>
              <w:autoSpaceDN/>
              <w:bidi w:val="0"/>
              <w:adjustRightInd/>
              <w:snapToGrid/>
              <w:spacing w:line="480" w:lineRule="auto"/>
              <w:textAlignment w:val="auto"/>
              <w:rPr>
                <w:rFonts w:ascii="Times New Roman" w:hAnsi="Times New Roman" w:eastAsia="Times New Roman" w:cs="Times New Roman"/>
              </w:rPr>
            </w:pPr>
            <w:r>
              <w:rPr>
                <w:rFonts w:ascii="Times New Roman" w:hAnsi="Times New Roman" w:eastAsia="Times New Roman" w:cs="Times New Roman"/>
              </w:rPr>
              <w:t>SKBR3 cell 10</w:t>
            </w:r>
          </w:p>
        </w:tc>
        <w:tc>
          <w:tcPr>
            <w:tcW w:w="286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Lines w:val="0"/>
              <w:pageBreakBefore w:val="0"/>
              <w:widowControl w:val="0"/>
              <w:kinsoku/>
              <w:wordWrap/>
              <w:overflowPunct/>
              <w:topLinePunct w:val="0"/>
              <w:autoSpaceDE/>
              <w:autoSpaceDN/>
              <w:bidi w:val="0"/>
              <w:adjustRightInd/>
              <w:snapToGrid/>
              <w:spacing w:line="480" w:lineRule="auto"/>
              <w:jc w:val="right"/>
              <w:textAlignment w:val="auto"/>
              <w:rPr>
                <w:rFonts w:ascii="Times New Roman" w:hAnsi="Times New Roman" w:eastAsia="Times New Roman" w:cs="Times New Roman"/>
              </w:rPr>
            </w:pPr>
            <w:r>
              <w:rPr>
                <w:rFonts w:ascii="Times New Roman" w:hAnsi="Times New Roman" w:eastAsia="Times New Roman" w:cs="Times New Roman"/>
              </w:rPr>
              <w:t>30.1 Mio</w:t>
            </w:r>
          </w:p>
        </w:tc>
        <w:tc>
          <w:tcPr>
            <w:tcW w:w="3361"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Next/>
              <w:keepLines w:val="0"/>
              <w:pageBreakBefore w:val="0"/>
              <w:widowControl w:val="0"/>
              <w:shd w:val="clear" w:fill="auto"/>
              <w:kinsoku/>
              <w:wordWrap/>
              <w:overflowPunct/>
              <w:topLinePunct w:val="0"/>
              <w:autoSpaceDE/>
              <w:autoSpaceDN/>
              <w:bidi w:val="0"/>
              <w:adjustRightInd/>
              <w:snapToGrid/>
              <w:spacing w:line="480" w:lineRule="auto"/>
              <w:ind w:left="0" w:right="0" w:firstLine="0"/>
              <w:jc w:val="right"/>
              <w:textAlignment w:val="auto"/>
              <w:rPr>
                <w:rFonts w:ascii="Times New Roman" w:hAnsi="Times New Roman" w:eastAsia="Times New Roman" w:cs="Times New Roman"/>
              </w:rPr>
            </w:pPr>
            <w:r>
              <w:rPr>
                <w:rFonts w:ascii="Times New Roman" w:hAnsi="Times New Roman" w:eastAsia="Times New Roman" w:cs="Times New Roman"/>
              </w:rPr>
              <w:t>55 %</w:t>
            </w:r>
          </w:p>
        </w:tc>
      </w:tr>
      <w:tr>
        <w:tblPrEx>
          <w:tblBorders>
            <w:top w:val="single" w:color="CCCCCC" w:sz="4" w:space="0"/>
            <w:left w:val="single" w:color="CCCCCC" w:sz="4" w:space="0"/>
            <w:bottom w:val="single" w:color="CCCCCC" w:sz="4" w:space="0"/>
            <w:right w:val="single" w:color="CCCCCC" w:sz="4" w:space="0"/>
            <w:insideH w:val="single" w:color="CCCCCC" w:sz="4" w:space="0"/>
            <w:insideV w:val="single" w:color="CCCCCC" w:sz="4" w:space="0"/>
          </w:tblBorders>
          <w:tblLayout w:type="fixed"/>
          <w:tblCellMar>
            <w:top w:w="0" w:type="dxa"/>
            <w:left w:w="-5" w:type="dxa"/>
            <w:bottom w:w="0" w:type="dxa"/>
            <w:right w:w="0" w:type="dxa"/>
          </w:tblCellMar>
        </w:tblPrEx>
        <w:tc>
          <w:tcPr>
            <w:tcW w:w="3119"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Lines w:val="0"/>
              <w:pageBreakBefore w:val="0"/>
              <w:widowControl w:val="0"/>
              <w:kinsoku/>
              <w:wordWrap/>
              <w:overflowPunct/>
              <w:topLinePunct w:val="0"/>
              <w:autoSpaceDE/>
              <w:autoSpaceDN/>
              <w:bidi w:val="0"/>
              <w:adjustRightInd/>
              <w:snapToGrid/>
              <w:spacing w:line="480" w:lineRule="auto"/>
              <w:textAlignment w:val="auto"/>
              <w:rPr>
                <w:rFonts w:ascii="Times New Roman" w:hAnsi="Times New Roman" w:eastAsia="Times New Roman" w:cs="Times New Roman"/>
              </w:rPr>
            </w:pPr>
            <w:r>
              <w:rPr>
                <w:rFonts w:ascii="Times New Roman" w:hAnsi="Times New Roman" w:eastAsia="Times New Roman" w:cs="Times New Roman"/>
              </w:rPr>
              <w:t>SKBR3 cell 13</w:t>
            </w:r>
          </w:p>
        </w:tc>
        <w:tc>
          <w:tcPr>
            <w:tcW w:w="286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Lines w:val="0"/>
              <w:pageBreakBefore w:val="0"/>
              <w:widowControl w:val="0"/>
              <w:kinsoku/>
              <w:wordWrap/>
              <w:overflowPunct/>
              <w:topLinePunct w:val="0"/>
              <w:autoSpaceDE/>
              <w:autoSpaceDN/>
              <w:bidi w:val="0"/>
              <w:adjustRightInd/>
              <w:snapToGrid/>
              <w:spacing w:line="480" w:lineRule="auto"/>
              <w:jc w:val="right"/>
              <w:textAlignment w:val="auto"/>
              <w:rPr>
                <w:rFonts w:ascii="Times New Roman" w:hAnsi="Times New Roman" w:eastAsia="Times New Roman" w:cs="Times New Roman"/>
              </w:rPr>
            </w:pPr>
            <w:r>
              <w:rPr>
                <w:rFonts w:ascii="Times New Roman" w:hAnsi="Times New Roman" w:eastAsia="Times New Roman" w:cs="Times New Roman"/>
              </w:rPr>
              <w:t>33.7 Mio</w:t>
            </w:r>
          </w:p>
        </w:tc>
        <w:tc>
          <w:tcPr>
            <w:tcW w:w="3361"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Next/>
              <w:keepLines w:val="0"/>
              <w:pageBreakBefore w:val="0"/>
              <w:widowControl w:val="0"/>
              <w:shd w:val="clear" w:fill="auto"/>
              <w:kinsoku/>
              <w:wordWrap/>
              <w:overflowPunct/>
              <w:topLinePunct w:val="0"/>
              <w:autoSpaceDE/>
              <w:autoSpaceDN/>
              <w:bidi w:val="0"/>
              <w:adjustRightInd/>
              <w:snapToGrid/>
              <w:spacing w:line="480" w:lineRule="auto"/>
              <w:ind w:left="0" w:right="0" w:firstLine="0"/>
              <w:jc w:val="right"/>
              <w:textAlignment w:val="auto"/>
              <w:rPr>
                <w:rFonts w:ascii="Times New Roman" w:hAnsi="Times New Roman" w:eastAsia="Times New Roman" w:cs="Times New Roman"/>
              </w:rPr>
            </w:pPr>
            <w:r>
              <w:rPr>
                <w:rFonts w:ascii="Times New Roman" w:hAnsi="Times New Roman" w:eastAsia="Times New Roman" w:cs="Times New Roman"/>
              </w:rPr>
              <w:t>72 %</w:t>
            </w:r>
          </w:p>
        </w:tc>
      </w:tr>
      <w:tr>
        <w:tblPrEx>
          <w:tblBorders>
            <w:top w:val="single" w:color="CCCCCC" w:sz="4" w:space="0"/>
            <w:left w:val="single" w:color="CCCCCC" w:sz="4" w:space="0"/>
            <w:bottom w:val="single" w:color="CCCCCC" w:sz="4" w:space="0"/>
            <w:right w:val="single" w:color="CCCCCC" w:sz="4" w:space="0"/>
            <w:insideH w:val="single" w:color="CCCCCC" w:sz="4" w:space="0"/>
            <w:insideV w:val="single" w:color="CCCCCC" w:sz="4" w:space="0"/>
          </w:tblBorders>
          <w:tblLayout w:type="fixed"/>
          <w:tblCellMar>
            <w:top w:w="0" w:type="dxa"/>
            <w:left w:w="-5" w:type="dxa"/>
            <w:bottom w:w="0" w:type="dxa"/>
            <w:right w:w="0" w:type="dxa"/>
          </w:tblCellMar>
        </w:tblPrEx>
        <w:tc>
          <w:tcPr>
            <w:tcW w:w="3119"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Lines w:val="0"/>
              <w:pageBreakBefore w:val="0"/>
              <w:widowControl w:val="0"/>
              <w:kinsoku/>
              <w:wordWrap/>
              <w:overflowPunct/>
              <w:topLinePunct w:val="0"/>
              <w:autoSpaceDE/>
              <w:autoSpaceDN/>
              <w:bidi w:val="0"/>
              <w:adjustRightInd/>
              <w:snapToGrid/>
              <w:spacing w:line="480" w:lineRule="auto"/>
              <w:textAlignment w:val="auto"/>
              <w:rPr>
                <w:rFonts w:ascii="Times New Roman" w:hAnsi="Times New Roman" w:eastAsia="Times New Roman" w:cs="Times New Roman"/>
              </w:rPr>
            </w:pPr>
            <w:r>
              <w:rPr>
                <w:rFonts w:ascii="Times New Roman" w:hAnsi="Times New Roman" w:eastAsia="Times New Roman" w:cs="Times New Roman"/>
              </w:rPr>
              <w:t>SKBR3 cell 20</w:t>
            </w:r>
          </w:p>
        </w:tc>
        <w:tc>
          <w:tcPr>
            <w:tcW w:w="286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Lines w:val="0"/>
              <w:pageBreakBefore w:val="0"/>
              <w:widowControl w:val="0"/>
              <w:kinsoku/>
              <w:wordWrap/>
              <w:overflowPunct/>
              <w:topLinePunct w:val="0"/>
              <w:autoSpaceDE/>
              <w:autoSpaceDN/>
              <w:bidi w:val="0"/>
              <w:adjustRightInd/>
              <w:snapToGrid/>
              <w:spacing w:line="480" w:lineRule="auto"/>
              <w:jc w:val="right"/>
              <w:textAlignment w:val="auto"/>
              <w:rPr>
                <w:rFonts w:ascii="Times New Roman" w:hAnsi="Times New Roman" w:eastAsia="Times New Roman" w:cs="Times New Roman"/>
              </w:rPr>
            </w:pPr>
            <w:r>
              <w:rPr>
                <w:rFonts w:ascii="Times New Roman" w:hAnsi="Times New Roman" w:eastAsia="Times New Roman" w:cs="Times New Roman"/>
              </w:rPr>
              <w:t>34.5 Mio</w:t>
            </w:r>
          </w:p>
        </w:tc>
        <w:tc>
          <w:tcPr>
            <w:tcW w:w="3361"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Next/>
              <w:keepLines w:val="0"/>
              <w:pageBreakBefore w:val="0"/>
              <w:widowControl w:val="0"/>
              <w:shd w:val="clear" w:fill="auto"/>
              <w:kinsoku/>
              <w:wordWrap/>
              <w:overflowPunct/>
              <w:topLinePunct w:val="0"/>
              <w:autoSpaceDE/>
              <w:autoSpaceDN/>
              <w:bidi w:val="0"/>
              <w:adjustRightInd/>
              <w:snapToGrid/>
              <w:spacing w:line="480" w:lineRule="auto"/>
              <w:ind w:left="0" w:right="0" w:firstLine="0"/>
              <w:jc w:val="right"/>
              <w:textAlignment w:val="auto"/>
              <w:rPr>
                <w:rFonts w:ascii="Times New Roman" w:hAnsi="Times New Roman" w:eastAsia="Times New Roman" w:cs="Times New Roman"/>
              </w:rPr>
            </w:pPr>
            <w:r>
              <w:rPr>
                <w:rFonts w:ascii="Times New Roman" w:hAnsi="Times New Roman" w:eastAsia="Times New Roman" w:cs="Times New Roman"/>
              </w:rPr>
              <w:t>30 %</w:t>
            </w:r>
          </w:p>
        </w:tc>
      </w:tr>
      <w:tr>
        <w:tblPrEx>
          <w:tblBorders>
            <w:top w:val="single" w:color="CCCCCC" w:sz="4" w:space="0"/>
            <w:left w:val="single" w:color="CCCCCC" w:sz="4" w:space="0"/>
            <w:bottom w:val="single" w:color="CCCCCC" w:sz="4" w:space="0"/>
            <w:right w:val="single" w:color="CCCCCC" w:sz="4" w:space="0"/>
            <w:insideH w:val="single" w:color="CCCCCC" w:sz="4" w:space="0"/>
            <w:insideV w:val="single" w:color="CCCCCC" w:sz="4" w:space="0"/>
          </w:tblBorders>
          <w:tblLayout w:type="fixed"/>
          <w:tblCellMar>
            <w:top w:w="0" w:type="dxa"/>
            <w:left w:w="-5" w:type="dxa"/>
            <w:bottom w:w="0" w:type="dxa"/>
            <w:right w:w="0" w:type="dxa"/>
          </w:tblCellMar>
        </w:tblPrEx>
        <w:tc>
          <w:tcPr>
            <w:tcW w:w="3119"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Lines w:val="0"/>
              <w:pageBreakBefore w:val="0"/>
              <w:widowControl w:val="0"/>
              <w:kinsoku/>
              <w:wordWrap/>
              <w:overflowPunct/>
              <w:topLinePunct w:val="0"/>
              <w:autoSpaceDE/>
              <w:autoSpaceDN/>
              <w:bidi w:val="0"/>
              <w:adjustRightInd/>
              <w:snapToGrid/>
              <w:spacing w:line="480" w:lineRule="auto"/>
              <w:textAlignment w:val="auto"/>
              <w:rPr>
                <w:rFonts w:ascii="Times New Roman" w:hAnsi="Times New Roman" w:eastAsia="Times New Roman" w:cs="Times New Roman"/>
              </w:rPr>
            </w:pPr>
            <w:r>
              <w:rPr>
                <w:rFonts w:ascii="Times New Roman" w:hAnsi="Times New Roman" w:eastAsia="Times New Roman" w:cs="Times New Roman"/>
              </w:rPr>
              <w:t>SKBR3 cell 25</w:t>
            </w:r>
          </w:p>
        </w:tc>
        <w:tc>
          <w:tcPr>
            <w:tcW w:w="286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Lines w:val="0"/>
              <w:pageBreakBefore w:val="0"/>
              <w:widowControl w:val="0"/>
              <w:kinsoku/>
              <w:wordWrap/>
              <w:overflowPunct/>
              <w:topLinePunct w:val="0"/>
              <w:autoSpaceDE/>
              <w:autoSpaceDN/>
              <w:bidi w:val="0"/>
              <w:adjustRightInd/>
              <w:snapToGrid/>
              <w:spacing w:line="480" w:lineRule="auto"/>
              <w:jc w:val="right"/>
              <w:textAlignment w:val="auto"/>
              <w:rPr>
                <w:rFonts w:ascii="Times New Roman" w:hAnsi="Times New Roman" w:eastAsia="Times New Roman" w:cs="Times New Roman"/>
              </w:rPr>
            </w:pPr>
            <w:r>
              <w:rPr>
                <w:rFonts w:ascii="Times New Roman" w:hAnsi="Times New Roman" w:eastAsia="Times New Roman" w:cs="Times New Roman"/>
              </w:rPr>
              <w:t>45.2 Mio</w:t>
            </w:r>
          </w:p>
        </w:tc>
        <w:tc>
          <w:tcPr>
            <w:tcW w:w="3361"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Next/>
              <w:keepLines w:val="0"/>
              <w:pageBreakBefore w:val="0"/>
              <w:widowControl w:val="0"/>
              <w:shd w:val="clear" w:fill="auto"/>
              <w:kinsoku/>
              <w:wordWrap/>
              <w:overflowPunct/>
              <w:topLinePunct w:val="0"/>
              <w:autoSpaceDE/>
              <w:autoSpaceDN/>
              <w:bidi w:val="0"/>
              <w:adjustRightInd/>
              <w:snapToGrid/>
              <w:spacing w:line="480" w:lineRule="auto"/>
              <w:ind w:left="0" w:right="0" w:firstLine="0"/>
              <w:jc w:val="right"/>
              <w:textAlignment w:val="auto"/>
              <w:rPr>
                <w:rFonts w:ascii="Times New Roman" w:hAnsi="Times New Roman" w:eastAsia="Times New Roman" w:cs="Times New Roman"/>
              </w:rPr>
            </w:pPr>
            <w:r>
              <w:rPr>
                <w:rFonts w:ascii="Times New Roman" w:hAnsi="Times New Roman" w:eastAsia="Times New Roman" w:cs="Times New Roman"/>
              </w:rPr>
              <w:t>44 %</w:t>
            </w:r>
          </w:p>
        </w:tc>
      </w:tr>
      <w:tr>
        <w:tblPrEx>
          <w:tblBorders>
            <w:top w:val="single" w:color="CCCCCC" w:sz="4" w:space="0"/>
            <w:left w:val="single" w:color="CCCCCC" w:sz="4" w:space="0"/>
            <w:bottom w:val="single" w:color="CCCCCC" w:sz="4" w:space="0"/>
            <w:right w:val="single" w:color="CCCCCC" w:sz="4" w:space="0"/>
            <w:insideH w:val="single" w:color="CCCCCC" w:sz="4" w:space="0"/>
            <w:insideV w:val="single" w:color="CCCCCC" w:sz="4" w:space="0"/>
          </w:tblBorders>
          <w:tblLayout w:type="fixed"/>
          <w:tblCellMar>
            <w:top w:w="0" w:type="dxa"/>
            <w:left w:w="-5" w:type="dxa"/>
            <w:bottom w:w="0" w:type="dxa"/>
            <w:right w:w="0" w:type="dxa"/>
          </w:tblCellMar>
        </w:tblPrEx>
        <w:tc>
          <w:tcPr>
            <w:tcW w:w="3119"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Lines w:val="0"/>
              <w:pageBreakBefore w:val="0"/>
              <w:widowControl w:val="0"/>
              <w:kinsoku/>
              <w:wordWrap/>
              <w:overflowPunct/>
              <w:topLinePunct w:val="0"/>
              <w:autoSpaceDE/>
              <w:autoSpaceDN/>
              <w:bidi w:val="0"/>
              <w:adjustRightInd/>
              <w:snapToGrid/>
              <w:spacing w:line="480" w:lineRule="auto"/>
              <w:textAlignment w:val="auto"/>
              <w:rPr>
                <w:rFonts w:ascii="Times New Roman" w:hAnsi="Times New Roman" w:eastAsia="Times New Roman" w:cs="Times New Roman"/>
              </w:rPr>
            </w:pPr>
            <w:r>
              <w:rPr>
                <w:rFonts w:ascii="Times New Roman" w:hAnsi="Times New Roman" w:eastAsia="Times New Roman" w:cs="Times New Roman"/>
              </w:rPr>
              <w:t>SKBR3 cell 26</w:t>
            </w:r>
          </w:p>
        </w:tc>
        <w:tc>
          <w:tcPr>
            <w:tcW w:w="286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Lines w:val="0"/>
              <w:pageBreakBefore w:val="0"/>
              <w:widowControl w:val="0"/>
              <w:kinsoku/>
              <w:wordWrap/>
              <w:overflowPunct/>
              <w:topLinePunct w:val="0"/>
              <w:autoSpaceDE/>
              <w:autoSpaceDN/>
              <w:bidi w:val="0"/>
              <w:adjustRightInd/>
              <w:snapToGrid/>
              <w:spacing w:line="480" w:lineRule="auto"/>
              <w:jc w:val="right"/>
              <w:textAlignment w:val="auto"/>
              <w:rPr>
                <w:rFonts w:ascii="Times New Roman" w:hAnsi="Times New Roman" w:eastAsia="Times New Roman" w:cs="Times New Roman"/>
              </w:rPr>
            </w:pPr>
            <w:r>
              <w:rPr>
                <w:rFonts w:ascii="Times New Roman" w:hAnsi="Times New Roman" w:eastAsia="Times New Roman" w:cs="Times New Roman"/>
              </w:rPr>
              <w:t>47.7 Mio</w:t>
            </w:r>
          </w:p>
        </w:tc>
        <w:tc>
          <w:tcPr>
            <w:tcW w:w="3361"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5" w:type="dxa"/>
            </w:tcMar>
            <w:vAlign w:val="center"/>
          </w:tcPr>
          <w:p>
            <w:pPr>
              <w:keepNext/>
              <w:keepLines w:val="0"/>
              <w:pageBreakBefore w:val="0"/>
              <w:widowControl w:val="0"/>
              <w:shd w:val="clear" w:fill="auto"/>
              <w:kinsoku/>
              <w:wordWrap/>
              <w:overflowPunct/>
              <w:topLinePunct w:val="0"/>
              <w:autoSpaceDE/>
              <w:autoSpaceDN/>
              <w:bidi w:val="0"/>
              <w:adjustRightInd/>
              <w:snapToGrid/>
              <w:spacing w:line="480" w:lineRule="auto"/>
              <w:ind w:left="0" w:right="0" w:firstLine="0"/>
              <w:jc w:val="right"/>
              <w:textAlignment w:val="auto"/>
              <w:rPr>
                <w:rFonts w:ascii="Times New Roman" w:hAnsi="Times New Roman" w:eastAsia="Times New Roman" w:cs="Times New Roman"/>
              </w:rPr>
            </w:pPr>
            <w:r>
              <w:rPr>
                <w:rFonts w:ascii="Times New Roman" w:hAnsi="Times New Roman" w:eastAsia="Times New Roman" w:cs="Times New Roman"/>
              </w:rPr>
              <w:t>41 %</w:t>
            </w:r>
          </w:p>
        </w:tc>
      </w:tr>
    </w:tbl>
    <w:p>
      <w:pPr>
        <w:pageBreakBefore w:val="0"/>
        <w:kinsoku/>
        <w:wordWrap/>
        <w:overflowPunct/>
        <w:topLinePunct w:val="0"/>
        <w:autoSpaceDE/>
        <w:autoSpaceDN/>
        <w:bidi w:val="0"/>
        <w:adjustRightInd/>
        <w:spacing w:line="480" w:lineRule="auto"/>
        <w:jc w:val="both"/>
        <w:textAlignment w:val="auto"/>
        <w:rPr>
          <w:rFonts w:ascii="Times New Roman" w:hAnsi="Times New Roman" w:eastAsia="Times New Roman" w:cs="Times New Roman"/>
        </w:rPr>
      </w:pPr>
    </w:p>
    <w:p>
      <w:pPr>
        <w:pageBreakBefore w:val="0"/>
        <w:kinsoku/>
        <w:wordWrap/>
        <w:overflowPunct/>
        <w:topLinePunct w:val="0"/>
        <w:autoSpaceDE/>
        <w:autoSpaceDN/>
        <w:bidi w:val="0"/>
        <w:adjustRightInd/>
        <w:spacing w:line="480" w:lineRule="auto"/>
        <w:jc w:val="both"/>
        <w:textAlignment w:val="auto"/>
        <w:rPr>
          <w:rFonts w:ascii="Times New Roman" w:hAnsi="Times New Roman" w:eastAsia="Times New Roman" w:cs="Times New Roman"/>
        </w:rPr>
      </w:pPr>
      <w:r>
        <w:drawing>
          <wp:inline distT="0" distB="0" distL="0" distR="0">
            <wp:extent cx="5943600" cy="6184900"/>
            <wp:effectExtent l="0" t="0" r="0" b="0"/>
            <wp:docPr id="4"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1.png"/>
                    <pic:cNvPicPr>
                      <a:picLocks noChangeAspect="1" noChangeArrowheads="1"/>
                    </pic:cNvPicPr>
                  </pic:nvPicPr>
                  <pic:blipFill>
                    <a:blip r:embed="rId9"/>
                    <a:stretch>
                      <a:fillRect/>
                    </a:stretch>
                  </pic:blipFill>
                  <pic:spPr>
                    <a:xfrm>
                      <a:off x="0" y="0"/>
                      <a:ext cx="5943600" cy="6184900"/>
                    </a:xfrm>
                    <a:prstGeom prst="rect">
                      <a:avLst/>
                    </a:prstGeom>
                  </pic:spPr>
                </pic:pic>
              </a:graphicData>
            </a:graphic>
          </wp:inline>
        </w:drawing>
      </w:r>
    </w:p>
    <w:p>
      <w:pPr>
        <w:pageBreakBefore w:val="0"/>
        <w:kinsoku/>
        <w:wordWrap/>
        <w:overflowPunct/>
        <w:topLinePunct w:val="0"/>
        <w:autoSpaceDE/>
        <w:autoSpaceDN/>
        <w:bidi w:val="0"/>
        <w:adjustRightInd/>
        <w:spacing w:line="480" w:lineRule="auto"/>
        <w:jc w:val="left"/>
        <w:textAlignment w:val="auto"/>
        <w:rPr>
          <w:rFonts w:ascii="Times New Roman" w:hAnsi="Times New Roman" w:eastAsia="Times New Roman" w:cs="Times New Roman"/>
        </w:rPr>
      </w:pPr>
      <w:r>
        <w:rPr>
          <w:rFonts w:ascii="Times New Roman" w:hAnsi="Times New Roman" w:eastAsia="Times New Roman" w:cs="Times New Roman"/>
          <w:b/>
        </w:rPr>
        <w:t xml:space="preserve">Figure S4. </w:t>
      </w:r>
      <w:r>
        <w:rPr>
          <w:rFonts w:ascii="Times New Roman" w:hAnsi="Times New Roman" w:eastAsia="Times New Roman" w:cs="Times New Roman"/>
          <w:b w:val="0"/>
          <w:bCs/>
        </w:rPr>
        <w:t>Distributions of copy numbers given by COSMIC. The total numbe</w:t>
      </w:r>
      <w:r>
        <w:rPr>
          <w:rFonts w:ascii="Times New Roman" w:hAnsi="Times New Roman" w:eastAsia="Times New Roman" w:cs="Times New Roman"/>
        </w:rPr>
        <w:t>r of base pairs per copy number is shown; considered were all segments given by COSMIC. Copy numbers &lt; 0.1 were replaced by 0.1 to limit the log(</w:t>
      </w:r>
      <w:r>
        <w:rPr>
          <w:rFonts w:ascii="Times New Roman" w:hAnsi="Times New Roman" w:eastAsia="Times New Roman" w:cs="Times New Roman"/>
          <w:i/>
          <w:iCs/>
        </w:rPr>
        <w:t>CN</w:t>
      </w:r>
      <w:r>
        <w:rPr>
          <w:rFonts w:ascii="Times New Roman" w:hAnsi="Times New Roman" w:eastAsia="Times New Roman" w:cs="Times New Roman"/>
        </w:rPr>
        <w:t>) value to -1.</w:t>
      </w:r>
    </w:p>
    <w:p>
      <w:pPr>
        <w:pageBreakBefore w:val="0"/>
        <w:kinsoku/>
        <w:wordWrap/>
        <w:overflowPunct/>
        <w:topLinePunct w:val="0"/>
        <w:autoSpaceDE/>
        <w:autoSpaceDN/>
        <w:bidi w:val="0"/>
        <w:adjustRightInd/>
        <w:spacing w:line="480" w:lineRule="auto"/>
        <w:jc w:val="both"/>
        <w:textAlignment w:val="auto"/>
        <w:rPr>
          <w:rFonts w:ascii="Times New Roman" w:hAnsi="Times New Roman" w:eastAsia="Times New Roman" w:cs="Times New Roman"/>
        </w:rPr>
      </w:pPr>
      <w:r>
        <w:br w:type="page"/>
      </w:r>
    </w:p>
    <w:p>
      <w:pPr>
        <w:pStyle w:val="4"/>
        <w:keepNext/>
        <w:keepLines w:val="0"/>
        <w:pageBreakBefore w:val="0"/>
        <w:kinsoku/>
        <w:wordWrap/>
        <w:overflowPunct/>
        <w:topLinePunct w:val="0"/>
        <w:autoSpaceDE/>
        <w:autoSpaceDN/>
        <w:bidi w:val="0"/>
        <w:adjustRightInd/>
        <w:spacing w:before="0" w:after="0" w:line="480" w:lineRule="auto"/>
        <w:textAlignment w:val="auto"/>
      </w:pPr>
      <w:bookmarkStart w:id="2" w:name="_lqdo69sjk8xd"/>
      <w:bookmarkEnd w:id="2"/>
      <w:r>
        <w:rPr>
          <w:b/>
          <w:sz w:val="22"/>
          <w:szCs w:val="22"/>
        </w:rPr>
        <w:t>Callers’ prediction coverage</w:t>
      </w:r>
    </w:p>
    <w:p>
      <w:pPr>
        <w:pageBreakBefore w:val="0"/>
        <w:kinsoku/>
        <w:wordWrap/>
        <w:overflowPunct/>
        <w:topLinePunct w:val="0"/>
        <w:autoSpaceDE/>
        <w:autoSpaceDN/>
        <w:bidi w:val="0"/>
        <w:adjustRightInd/>
        <w:spacing w:line="480" w:lineRule="auto"/>
        <w:textAlignment w:val="auto"/>
      </w:pPr>
      <w:r>
        <w:rPr>
          <w:rFonts w:ascii="Times New Roman" w:hAnsi="Times New Roman" w:eastAsia="Times New Roman" w:cs="Times New Roman"/>
          <w:b/>
        </w:rPr>
        <w:t xml:space="preserve">Table S3. </w:t>
      </w:r>
      <w:r>
        <w:rPr>
          <w:rFonts w:ascii="Times New Roman" w:hAnsi="Times New Roman" w:eastAsia="Times New Roman" w:cs="Times New Roman"/>
          <w:b w:val="0"/>
          <w:bCs/>
        </w:rPr>
        <w:t>Caller coverage per cancer cell line (genome length 3,088,386,401 bp). Ea</w:t>
      </w:r>
      <w:r>
        <w:rPr>
          <w:rFonts w:ascii="Times New Roman" w:hAnsi="Times New Roman" w:eastAsia="Times New Roman" w:cs="Times New Roman"/>
          <w:b w:val="0"/>
          <w:bCs w:val="0"/>
        </w:rPr>
        <w:t xml:space="preserve">ch of the investigated callers introduced gaps in the tested genomes. For larger gaps, a visual check of the alignment revealed non-sequenced regions (no read coverage) which did not contain genetic regions either. </w:t>
      </w:r>
    </w:p>
    <w:tbl>
      <w:tblPr>
        <w:tblStyle w:val="17"/>
        <w:tblW w:w="9344" w:type="dxa"/>
        <w:tblInd w:w="95" w:type="dxa"/>
        <w:tblBorders>
          <w:top w:val="single" w:color="000001" w:sz="8" w:space="0"/>
          <w:left w:val="single" w:color="000001" w:sz="8" w:space="0"/>
          <w:bottom w:val="single" w:color="000001" w:sz="8" w:space="0"/>
          <w:right w:val="single" w:color="000001" w:sz="8" w:space="0"/>
          <w:insideH w:val="single" w:color="000001" w:sz="8" w:space="0"/>
          <w:insideV w:val="single" w:color="000001" w:sz="8" w:space="0"/>
        </w:tblBorders>
        <w:tblLayout w:type="fixed"/>
        <w:tblCellMar>
          <w:top w:w="100" w:type="dxa"/>
          <w:left w:w="90" w:type="dxa"/>
          <w:bottom w:w="100" w:type="dxa"/>
          <w:right w:w="100" w:type="dxa"/>
        </w:tblCellMar>
      </w:tblPr>
      <w:tblGrid>
        <w:gridCol w:w="2595"/>
        <w:gridCol w:w="1350"/>
        <w:gridCol w:w="1350"/>
        <w:gridCol w:w="1351"/>
        <w:gridCol w:w="1350"/>
        <w:gridCol w:w="1348"/>
      </w:tblGrid>
      <w:tr>
        <w:tblPrEx>
          <w:tblBorders>
            <w:top w:val="single" w:color="000001" w:sz="8" w:space="0"/>
            <w:left w:val="single" w:color="000001" w:sz="8" w:space="0"/>
            <w:bottom w:val="single" w:color="000001" w:sz="8" w:space="0"/>
            <w:right w:val="single" w:color="000001" w:sz="8" w:space="0"/>
            <w:insideH w:val="single" w:color="000001" w:sz="8" w:space="0"/>
            <w:insideV w:val="single" w:color="000001" w:sz="8" w:space="0"/>
          </w:tblBorders>
          <w:tblLayout w:type="fixed"/>
          <w:tblCellMar>
            <w:top w:w="100" w:type="dxa"/>
            <w:left w:w="90" w:type="dxa"/>
            <w:bottom w:w="100" w:type="dxa"/>
            <w:right w:w="100" w:type="dxa"/>
          </w:tblCellMar>
        </w:tblPrEx>
        <w:trPr>
          <w:trHeight w:val="460" w:hRule="atLeast"/>
        </w:trPr>
        <w:tc>
          <w:tcPr>
            <w:tcW w:w="2595"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Times New Roman" w:cs="Times New Roman"/>
              </w:rPr>
            </w:pPr>
            <w:r>
              <w:rPr>
                <w:rFonts w:ascii="Times New Roman" w:hAnsi="Times New Roman" w:eastAsia="Times New Roman" w:cs="Times New Roman"/>
              </w:rPr>
              <w:t>Caller</w:t>
            </w:r>
          </w:p>
        </w:tc>
        <w:tc>
          <w:tcPr>
            <w:tcW w:w="135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Times New Roman" w:cs="Times New Roman"/>
              </w:rPr>
            </w:pPr>
            <w:r>
              <w:rPr>
                <w:rFonts w:ascii="Times New Roman" w:hAnsi="Times New Roman" w:eastAsia="Times New Roman" w:cs="Times New Roman"/>
              </w:rPr>
              <w:t>HCC1187</w:t>
            </w:r>
          </w:p>
        </w:tc>
        <w:tc>
          <w:tcPr>
            <w:tcW w:w="135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Times New Roman" w:cs="Times New Roman"/>
              </w:rPr>
            </w:pPr>
            <w:r>
              <w:rPr>
                <w:rFonts w:ascii="Times New Roman" w:hAnsi="Times New Roman" w:eastAsia="Times New Roman" w:cs="Times New Roman"/>
              </w:rPr>
              <w:t>HCC2218</w:t>
            </w:r>
          </w:p>
        </w:tc>
        <w:tc>
          <w:tcPr>
            <w:tcW w:w="1351"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Times New Roman" w:cs="Times New Roman"/>
              </w:rPr>
            </w:pPr>
            <w:r>
              <w:rPr>
                <w:rFonts w:ascii="Times New Roman" w:hAnsi="Times New Roman" w:eastAsia="Times New Roman" w:cs="Times New Roman"/>
              </w:rPr>
              <w:t>MCF7</w:t>
            </w:r>
          </w:p>
        </w:tc>
        <w:tc>
          <w:tcPr>
            <w:tcW w:w="135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Times New Roman" w:cs="Times New Roman"/>
              </w:rPr>
            </w:pPr>
            <w:r>
              <w:rPr>
                <w:rFonts w:ascii="Times New Roman" w:hAnsi="Times New Roman" w:eastAsia="Times New Roman" w:cs="Times New Roman"/>
              </w:rPr>
              <w:t>PC3</w:t>
            </w:r>
          </w:p>
        </w:tc>
        <w:tc>
          <w:tcPr>
            <w:tcW w:w="1348"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Times New Roman" w:cs="Times New Roman"/>
              </w:rPr>
            </w:pPr>
            <w:r>
              <w:rPr>
                <w:rFonts w:ascii="Times New Roman" w:hAnsi="Times New Roman" w:eastAsia="Times New Roman" w:cs="Times New Roman"/>
              </w:rPr>
              <w:t>SKBR3 single cell</w:t>
            </w:r>
          </w:p>
        </w:tc>
      </w:tr>
      <w:tr>
        <w:tblPrEx>
          <w:tblBorders>
            <w:top w:val="single" w:color="000001" w:sz="8" w:space="0"/>
            <w:left w:val="single" w:color="000001" w:sz="8" w:space="0"/>
            <w:bottom w:val="single" w:color="000001" w:sz="8" w:space="0"/>
            <w:right w:val="single" w:color="000001" w:sz="8" w:space="0"/>
            <w:insideH w:val="single" w:color="000001" w:sz="8" w:space="0"/>
            <w:insideV w:val="single" w:color="000001" w:sz="8" w:space="0"/>
          </w:tblBorders>
          <w:tblLayout w:type="fixed"/>
          <w:tblCellMar>
            <w:top w:w="100" w:type="dxa"/>
            <w:left w:w="90" w:type="dxa"/>
            <w:bottom w:w="100" w:type="dxa"/>
            <w:right w:w="100" w:type="dxa"/>
          </w:tblCellMar>
        </w:tblPrEx>
        <w:tc>
          <w:tcPr>
            <w:tcW w:w="2595"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top w:w="0" w:type="dxa"/>
              <w:left w:w="-10" w:type="dxa"/>
              <w:bottom w:w="0" w:type="dxa"/>
              <w:right w:w="0" w:type="dxa"/>
            </w:tcMar>
          </w:tcPr>
          <w:p>
            <w:pPr>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Times New Roman" w:cs="Times New Roman"/>
              </w:rPr>
            </w:pPr>
          </w:p>
        </w:tc>
        <w:tc>
          <w:tcPr>
            <w:tcW w:w="135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top w:w="0" w:type="dxa"/>
              <w:left w:w="-10" w:type="dxa"/>
              <w:bottom w:w="0" w:type="dxa"/>
              <w:right w:w="0" w:type="dxa"/>
            </w:tcMar>
          </w:tcPr>
          <w:p>
            <w:pPr>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Times New Roman" w:cs="Times New Roman"/>
              </w:rPr>
            </w:pPr>
            <w:r>
              <w:rPr>
                <w:rFonts w:ascii="Times New Roman" w:hAnsi="Times New Roman" w:eastAsia="Times New Roman" w:cs="Times New Roman"/>
              </w:rPr>
              <w:t>[%]</w:t>
            </w:r>
          </w:p>
        </w:tc>
        <w:tc>
          <w:tcPr>
            <w:tcW w:w="135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top w:w="0" w:type="dxa"/>
              <w:left w:w="-10" w:type="dxa"/>
              <w:bottom w:w="0" w:type="dxa"/>
              <w:right w:w="0" w:type="dxa"/>
            </w:tcMar>
          </w:tcPr>
          <w:p>
            <w:pPr>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Times New Roman" w:cs="Times New Roman"/>
              </w:rPr>
            </w:pPr>
            <w:r>
              <w:rPr>
                <w:rFonts w:ascii="Times New Roman" w:hAnsi="Times New Roman" w:eastAsia="Times New Roman" w:cs="Times New Roman"/>
              </w:rPr>
              <w:t>[%]</w:t>
            </w:r>
          </w:p>
        </w:tc>
        <w:tc>
          <w:tcPr>
            <w:tcW w:w="1351"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top w:w="0" w:type="dxa"/>
              <w:left w:w="-10" w:type="dxa"/>
              <w:bottom w:w="0" w:type="dxa"/>
              <w:right w:w="0" w:type="dxa"/>
            </w:tcMar>
          </w:tcPr>
          <w:p>
            <w:pPr>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Times New Roman" w:cs="Times New Roman"/>
              </w:rPr>
            </w:pPr>
            <w:r>
              <w:rPr>
                <w:rFonts w:ascii="Times New Roman" w:hAnsi="Times New Roman" w:eastAsia="Times New Roman" w:cs="Times New Roman"/>
              </w:rPr>
              <w:t>[%]</w:t>
            </w:r>
          </w:p>
        </w:tc>
        <w:tc>
          <w:tcPr>
            <w:tcW w:w="135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top w:w="0" w:type="dxa"/>
              <w:left w:w="-10" w:type="dxa"/>
              <w:bottom w:w="0" w:type="dxa"/>
              <w:right w:w="0" w:type="dxa"/>
            </w:tcMar>
          </w:tcPr>
          <w:p>
            <w:pPr>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Times New Roman" w:cs="Times New Roman"/>
              </w:rPr>
            </w:pPr>
            <w:r>
              <w:rPr>
                <w:rFonts w:ascii="Times New Roman" w:hAnsi="Times New Roman" w:eastAsia="Times New Roman" w:cs="Times New Roman"/>
              </w:rPr>
              <w:t>[%]</w:t>
            </w:r>
          </w:p>
        </w:tc>
        <w:tc>
          <w:tcPr>
            <w:tcW w:w="1348"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top w:w="0" w:type="dxa"/>
              <w:left w:w="-10" w:type="dxa"/>
              <w:bottom w:w="0" w:type="dxa"/>
              <w:right w:w="0" w:type="dxa"/>
            </w:tcMar>
          </w:tcPr>
          <w:p>
            <w:pPr>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Times New Roman" w:cs="Times New Roman"/>
              </w:rPr>
            </w:pPr>
            <w:r>
              <w:rPr>
                <w:rFonts w:ascii="Times New Roman" w:hAnsi="Times New Roman" w:eastAsia="Times New Roman" w:cs="Times New Roman"/>
              </w:rPr>
              <w:t>[%]</w:t>
            </w:r>
          </w:p>
        </w:tc>
      </w:tr>
      <w:tr>
        <w:tblPrEx>
          <w:tblBorders>
            <w:top w:val="single" w:color="000001" w:sz="8" w:space="0"/>
            <w:left w:val="single" w:color="000001" w:sz="8" w:space="0"/>
            <w:bottom w:val="single" w:color="000001" w:sz="8" w:space="0"/>
            <w:right w:val="single" w:color="000001" w:sz="8" w:space="0"/>
            <w:insideH w:val="single" w:color="000001" w:sz="8" w:space="0"/>
            <w:insideV w:val="single" w:color="000001" w:sz="8" w:space="0"/>
          </w:tblBorders>
          <w:tblLayout w:type="fixed"/>
          <w:tblCellMar>
            <w:top w:w="100" w:type="dxa"/>
            <w:left w:w="90" w:type="dxa"/>
            <w:bottom w:w="100" w:type="dxa"/>
            <w:right w:w="100" w:type="dxa"/>
          </w:tblCellMar>
        </w:tblPrEx>
        <w:tc>
          <w:tcPr>
            <w:tcW w:w="2595"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top w:w="0" w:type="dxa"/>
              <w:left w:w="-10" w:type="dxa"/>
              <w:bottom w:w="0" w:type="dxa"/>
              <w:right w:w="0" w:type="dxa"/>
            </w:tcMar>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ReadDepth</w:t>
            </w:r>
          </w:p>
        </w:tc>
        <w:tc>
          <w:tcPr>
            <w:tcW w:w="135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top w:w="0" w:type="dxa"/>
              <w:left w:w="-10" w:type="dxa"/>
              <w:bottom w:w="0" w:type="dxa"/>
              <w:right w:w="0" w:type="dxa"/>
            </w:tcMa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96.5</w:t>
            </w:r>
          </w:p>
        </w:tc>
        <w:tc>
          <w:tcPr>
            <w:tcW w:w="135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top w:w="0" w:type="dxa"/>
              <w:left w:w="-10" w:type="dxa"/>
              <w:bottom w:w="0" w:type="dxa"/>
              <w:right w:w="0" w:type="dxa"/>
            </w:tcMa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96.5</w:t>
            </w:r>
          </w:p>
        </w:tc>
        <w:tc>
          <w:tcPr>
            <w:tcW w:w="1351"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top w:w="0" w:type="dxa"/>
              <w:left w:w="-10" w:type="dxa"/>
              <w:bottom w:w="0" w:type="dxa"/>
              <w:right w:w="0" w:type="dxa"/>
            </w:tcMa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96.5</w:t>
            </w:r>
          </w:p>
        </w:tc>
        <w:tc>
          <w:tcPr>
            <w:tcW w:w="135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top w:w="0" w:type="dxa"/>
              <w:left w:w="-10" w:type="dxa"/>
              <w:bottom w:w="0" w:type="dxa"/>
              <w:right w:w="0" w:type="dxa"/>
            </w:tcMa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99.5</w:t>
            </w:r>
          </w:p>
        </w:tc>
        <w:tc>
          <w:tcPr>
            <w:tcW w:w="1348"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top w:w="0" w:type="dxa"/>
              <w:left w:w="-10" w:type="dxa"/>
              <w:bottom w:w="0" w:type="dxa"/>
              <w:right w:w="0" w:type="dxa"/>
            </w:tcMa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97.1</w:t>
            </w:r>
          </w:p>
        </w:tc>
      </w:tr>
      <w:tr>
        <w:tblPrEx>
          <w:tblBorders>
            <w:top w:val="single" w:color="000001" w:sz="8" w:space="0"/>
            <w:left w:val="single" w:color="000001" w:sz="8" w:space="0"/>
            <w:bottom w:val="single" w:color="000001" w:sz="8" w:space="0"/>
            <w:right w:val="single" w:color="000001" w:sz="8" w:space="0"/>
            <w:insideH w:val="single" w:color="000001" w:sz="8" w:space="0"/>
            <w:insideV w:val="single" w:color="000001" w:sz="8" w:space="0"/>
          </w:tblBorders>
          <w:tblLayout w:type="fixed"/>
          <w:tblCellMar>
            <w:top w:w="100" w:type="dxa"/>
            <w:left w:w="90" w:type="dxa"/>
            <w:bottom w:w="100" w:type="dxa"/>
            <w:right w:w="100" w:type="dxa"/>
          </w:tblCellMar>
        </w:tblPrEx>
        <w:tc>
          <w:tcPr>
            <w:tcW w:w="2595"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top w:w="0" w:type="dxa"/>
              <w:left w:w="-10" w:type="dxa"/>
              <w:bottom w:w="0" w:type="dxa"/>
              <w:right w:w="0" w:type="dxa"/>
            </w:tcMar>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SVDetect</w:t>
            </w:r>
          </w:p>
        </w:tc>
        <w:tc>
          <w:tcPr>
            <w:tcW w:w="135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top w:w="0" w:type="dxa"/>
              <w:left w:w="-10" w:type="dxa"/>
              <w:bottom w:w="0" w:type="dxa"/>
              <w:right w:w="0" w:type="dxa"/>
            </w:tcMa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93.1</w:t>
            </w:r>
          </w:p>
        </w:tc>
        <w:tc>
          <w:tcPr>
            <w:tcW w:w="135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top w:w="0" w:type="dxa"/>
              <w:left w:w="-10" w:type="dxa"/>
              <w:bottom w:w="0" w:type="dxa"/>
              <w:right w:w="0" w:type="dxa"/>
            </w:tcMa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93.1</w:t>
            </w:r>
          </w:p>
        </w:tc>
        <w:tc>
          <w:tcPr>
            <w:tcW w:w="1351"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top w:w="0" w:type="dxa"/>
              <w:left w:w="-10" w:type="dxa"/>
              <w:bottom w:w="0" w:type="dxa"/>
              <w:right w:w="0" w:type="dxa"/>
            </w:tcMa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94.1</w:t>
            </w:r>
          </w:p>
        </w:tc>
        <w:tc>
          <w:tcPr>
            <w:tcW w:w="135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top w:w="0" w:type="dxa"/>
              <w:left w:w="-10" w:type="dxa"/>
              <w:bottom w:w="0" w:type="dxa"/>
              <w:right w:w="0" w:type="dxa"/>
            </w:tcMa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94.5</w:t>
            </w:r>
          </w:p>
        </w:tc>
        <w:tc>
          <w:tcPr>
            <w:tcW w:w="1348"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top w:w="0" w:type="dxa"/>
              <w:left w:w="-10" w:type="dxa"/>
              <w:bottom w:w="0" w:type="dxa"/>
              <w:right w:w="0" w:type="dxa"/>
            </w:tcMa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93.7</w:t>
            </w:r>
          </w:p>
        </w:tc>
      </w:tr>
      <w:tr>
        <w:tblPrEx>
          <w:tblBorders>
            <w:top w:val="single" w:color="000001" w:sz="8" w:space="0"/>
            <w:left w:val="single" w:color="000001" w:sz="8" w:space="0"/>
            <w:bottom w:val="single" w:color="000001" w:sz="8" w:space="0"/>
            <w:right w:val="single" w:color="000001" w:sz="8" w:space="0"/>
            <w:insideH w:val="single" w:color="000001" w:sz="8" w:space="0"/>
            <w:insideV w:val="single" w:color="000001" w:sz="8" w:space="0"/>
          </w:tblBorders>
          <w:tblLayout w:type="fixed"/>
          <w:tblCellMar>
            <w:top w:w="100" w:type="dxa"/>
            <w:left w:w="90" w:type="dxa"/>
            <w:bottom w:w="100" w:type="dxa"/>
            <w:right w:w="100" w:type="dxa"/>
          </w:tblCellMar>
        </w:tblPrEx>
        <w:tc>
          <w:tcPr>
            <w:tcW w:w="2595"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top w:w="0" w:type="dxa"/>
              <w:left w:w="-10" w:type="dxa"/>
              <w:bottom w:w="0" w:type="dxa"/>
              <w:right w:w="0" w:type="dxa"/>
            </w:tcMar>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CNVnator</w:t>
            </w:r>
          </w:p>
        </w:tc>
        <w:tc>
          <w:tcPr>
            <w:tcW w:w="135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top w:w="0" w:type="dxa"/>
              <w:left w:w="-10" w:type="dxa"/>
              <w:bottom w:w="0" w:type="dxa"/>
              <w:right w:w="0" w:type="dxa"/>
            </w:tcMa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80.3</w:t>
            </w:r>
          </w:p>
        </w:tc>
        <w:tc>
          <w:tcPr>
            <w:tcW w:w="135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top w:w="0" w:type="dxa"/>
              <w:left w:w="-10" w:type="dxa"/>
              <w:bottom w:w="0" w:type="dxa"/>
              <w:right w:w="0" w:type="dxa"/>
            </w:tcMa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35.5</w:t>
            </w:r>
          </w:p>
        </w:tc>
        <w:tc>
          <w:tcPr>
            <w:tcW w:w="1351"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top w:w="0" w:type="dxa"/>
              <w:left w:w="-10" w:type="dxa"/>
              <w:bottom w:w="0" w:type="dxa"/>
              <w:right w:w="0" w:type="dxa"/>
            </w:tcMa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39.6</w:t>
            </w:r>
          </w:p>
        </w:tc>
        <w:tc>
          <w:tcPr>
            <w:tcW w:w="135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top w:w="0" w:type="dxa"/>
              <w:left w:w="-10" w:type="dxa"/>
              <w:bottom w:w="0" w:type="dxa"/>
              <w:right w:w="0" w:type="dxa"/>
            </w:tcMa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57.0</w:t>
            </w:r>
          </w:p>
        </w:tc>
        <w:tc>
          <w:tcPr>
            <w:tcW w:w="1348"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top w:w="0" w:type="dxa"/>
              <w:left w:w="-10" w:type="dxa"/>
              <w:bottom w:w="0" w:type="dxa"/>
              <w:right w:w="0" w:type="dxa"/>
            </w:tcMa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40.9</w:t>
            </w:r>
          </w:p>
        </w:tc>
      </w:tr>
      <w:tr>
        <w:tblPrEx>
          <w:tblBorders>
            <w:top w:val="single" w:color="000001" w:sz="8" w:space="0"/>
            <w:left w:val="single" w:color="000001" w:sz="8" w:space="0"/>
            <w:bottom w:val="single" w:color="000001" w:sz="8" w:space="0"/>
            <w:right w:val="single" w:color="000001" w:sz="8" w:space="0"/>
            <w:insideH w:val="single" w:color="000001" w:sz="8" w:space="0"/>
            <w:insideV w:val="single" w:color="000001" w:sz="8" w:space="0"/>
          </w:tblBorders>
          <w:tblLayout w:type="fixed"/>
          <w:tblCellMar>
            <w:top w:w="100" w:type="dxa"/>
            <w:left w:w="90" w:type="dxa"/>
            <w:bottom w:w="100" w:type="dxa"/>
            <w:right w:w="100" w:type="dxa"/>
          </w:tblCellMar>
        </w:tblPrEx>
        <w:tc>
          <w:tcPr>
            <w:tcW w:w="2595"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top w:w="0" w:type="dxa"/>
              <w:left w:w="-10" w:type="dxa"/>
              <w:bottom w:w="0" w:type="dxa"/>
              <w:right w:w="0" w:type="dxa"/>
            </w:tcMar>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MetaCNV</w:t>
            </w:r>
          </w:p>
        </w:tc>
        <w:tc>
          <w:tcPr>
            <w:tcW w:w="135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top w:w="0" w:type="dxa"/>
              <w:left w:w="-10" w:type="dxa"/>
              <w:bottom w:w="0" w:type="dxa"/>
              <w:right w:w="0" w:type="dxa"/>
            </w:tcMa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99.9</w:t>
            </w:r>
          </w:p>
        </w:tc>
        <w:tc>
          <w:tcPr>
            <w:tcW w:w="135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top w:w="0" w:type="dxa"/>
              <w:left w:w="-10" w:type="dxa"/>
              <w:bottom w:w="0" w:type="dxa"/>
              <w:right w:w="0" w:type="dxa"/>
            </w:tcMa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99.9</w:t>
            </w:r>
          </w:p>
        </w:tc>
        <w:tc>
          <w:tcPr>
            <w:tcW w:w="1351"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top w:w="0" w:type="dxa"/>
              <w:left w:w="-10" w:type="dxa"/>
              <w:bottom w:w="0" w:type="dxa"/>
              <w:right w:w="0" w:type="dxa"/>
            </w:tcMa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99.9</w:t>
            </w:r>
          </w:p>
        </w:tc>
        <w:tc>
          <w:tcPr>
            <w:tcW w:w="135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top w:w="0" w:type="dxa"/>
              <w:left w:w="-10" w:type="dxa"/>
              <w:bottom w:w="0" w:type="dxa"/>
              <w:right w:w="0" w:type="dxa"/>
            </w:tcMa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99.9</w:t>
            </w:r>
          </w:p>
        </w:tc>
        <w:tc>
          <w:tcPr>
            <w:tcW w:w="1348"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top w:w="0" w:type="dxa"/>
              <w:left w:w="-10" w:type="dxa"/>
              <w:bottom w:w="0" w:type="dxa"/>
              <w:right w:w="0" w:type="dxa"/>
            </w:tcMa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99.9</w:t>
            </w:r>
          </w:p>
        </w:tc>
      </w:tr>
      <w:tr>
        <w:tblPrEx>
          <w:tblBorders>
            <w:top w:val="single" w:color="000001" w:sz="8" w:space="0"/>
            <w:left w:val="single" w:color="000001" w:sz="8" w:space="0"/>
            <w:bottom w:val="single" w:color="000001" w:sz="8" w:space="0"/>
            <w:right w:val="single" w:color="000001" w:sz="8" w:space="0"/>
            <w:insideH w:val="single" w:color="000001" w:sz="8" w:space="0"/>
            <w:insideV w:val="single" w:color="000001" w:sz="8" w:space="0"/>
          </w:tblBorders>
          <w:tblLayout w:type="fixed"/>
          <w:tblCellMar>
            <w:top w:w="100" w:type="dxa"/>
            <w:left w:w="90" w:type="dxa"/>
            <w:bottom w:w="100" w:type="dxa"/>
            <w:right w:w="100" w:type="dxa"/>
          </w:tblCellMar>
        </w:tblPrEx>
        <w:tc>
          <w:tcPr>
            <w:tcW w:w="2595"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top w:w="0" w:type="dxa"/>
              <w:left w:w="-10" w:type="dxa"/>
              <w:bottom w:w="0" w:type="dxa"/>
              <w:right w:w="0" w:type="dxa"/>
            </w:tcMar>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Copycat</w:t>
            </w:r>
          </w:p>
        </w:tc>
        <w:tc>
          <w:tcPr>
            <w:tcW w:w="135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top w:w="0" w:type="dxa"/>
              <w:left w:w="-10" w:type="dxa"/>
              <w:bottom w:w="0" w:type="dxa"/>
              <w:right w:w="0" w:type="dxa"/>
            </w:tcMa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98.6</w:t>
            </w:r>
          </w:p>
        </w:tc>
        <w:tc>
          <w:tcPr>
            <w:tcW w:w="135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top w:w="0" w:type="dxa"/>
              <w:left w:w="-10" w:type="dxa"/>
              <w:bottom w:w="0" w:type="dxa"/>
              <w:right w:w="0" w:type="dxa"/>
            </w:tcMa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98.6</w:t>
            </w:r>
          </w:p>
        </w:tc>
        <w:tc>
          <w:tcPr>
            <w:tcW w:w="1351"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top w:w="0" w:type="dxa"/>
              <w:left w:w="-10" w:type="dxa"/>
              <w:bottom w:w="0" w:type="dxa"/>
              <w:right w:w="0" w:type="dxa"/>
            </w:tcMa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98.6</w:t>
            </w:r>
          </w:p>
        </w:tc>
        <w:tc>
          <w:tcPr>
            <w:tcW w:w="135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top w:w="0" w:type="dxa"/>
              <w:left w:w="-10" w:type="dxa"/>
              <w:bottom w:w="0" w:type="dxa"/>
              <w:right w:w="0" w:type="dxa"/>
            </w:tcMa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NA</w:t>
            </w:r>
          </w:p>
        </w:tc>
        <w:tc>
          <w:tcPr>
            <w:tcW w:w="1348"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top w:w="0" w:type="dxa"/>
              <w:left w:w="-10" w:type="dxa"/>
              <w:bottom w:w="0" w:type="dxa"/>
              <w:right w:w="0" w:type="dxa"/>
            </w:tcMa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NA</w:t>
            </w:r>
          </w:p>
        </w:tc>
      </w:tr>
      <w:tr>
        <w:tblPrEx>
          <w:tblBorders>
            <w:top w:val="single" w:color="000001" w:sz="8" w:space="0"/>
            <w:left w:val="single" w:color="000001" w:sz="8" w:space="0"/>
            <w:bottom w:val="single" w:color="000001" w:sz="8" w:space="0"/>
            <w:right w:val="single" w:color="000001" w:sz="8" w:space="0"/>
            <w:insideH w:val="single" w:color="000001" w:sz="8" w:space="0"/>
            <w:insideV w:val="single" w:color="000001" w:sz="8" w:space="0"/>
          </w:tblBorders>
          <w:tblLayout w:type="fixed"/>
          <w:tblCellMar>
            <w:top w:w="100" w:type="dxa"/>
            <w:left w:w="90" w:type="dxa"/>
            <w:bottom w:w="100" w:type="dxa"/>
            <w:right w:w="100" w:type="dxa"/>
          </w:tblCellMar>
        </w:tblPrEx>
        <w:tc>
          <w:tcPr>
            <w:tcW w:w="2595"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top w:w="0" w:type="dxa"/>
              <w:left w:w="-10" w:type="dxa"/>
              <w:bottom w:w="0" w:type="dxa"/>
              <w:right w:w="0" w:type="dxa"/>
            </w:tcMar>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Control-FREEC</w:t>
            </w:r>
          </w:p>
        </w:tc>
        <w:tc>
          <w:tcPr>
            <w:tcW w:w="135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top w:w="0" w:type="dxa"/>
              <w:left w:w="-10" w:type="dxa"/>
              <w:bottom w:w="0" w:type="dxa"/>
              <w:right w:w="0" w:type="dxa"/>
            </w:tcMa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49.5</w:t>
            </w:r>
          </w:p>
        </w:tc>
        <w:tc>
          <w:tcPr>
            <w:tcW w:w="135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top w:w="0" w:type="dxa"/>
              <w:left w:w="-10" w:type="dxa"/>
              <w:bottom w:w="0" w:type="dxa"/>
              <w:right w:w="0" w:type="dxa"/>
            </w:tcMa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33.3</w:t>
            </w:r>
          </w:p>
        </w:tc>
        <w:tc>
          <w:tcPr>
            <w:tcW w:w="1351"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top w:w="0" w:type="dxa"/>
              <w:left w:w="-10" w:type="dxa"/>
              <w:bottom w:w="0" w:type="dxa"/>
              <w:right w:w="0" w:type="dxa"/>
            </w:tcMa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40.3</w:t>
            </w:r>
          </w:p>
        </w:tc>
        <w:tc>
          <w:tcPr>
            <w:tcW w:w="135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top w:w="0" w:type="dxa"/>
              <w:left w:w="-10" w:type="dxa"/>
              <w:bottom w:w="0" w:type="dxa"/>
              <w:right w:w="0" w:type="dxa"/>
            </w:tcMa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65.7</w:t>
            </w:r>
          </w:p>
        </w:tc>
        <w:tc>
          <w:tcPr>
            <w:tcW w:w="1348"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top w:w="0" w:type="dxa"/>
              <w:left w:w="-10" w:type="dxa"/>
              <w:bottom w:w="0" w:type="dxa"/>
              <w:right w:w="0" w:type="dxa"/>
            </w:tcMa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47.1</w:t>
            </w:r>
          </w:p>
        </w:tc>
      </w:tr>
    </w:tbl>
    <w:p>
      <w:pPr>
        <w:pageBreakBefore w:val="0"/>
        <w:kinsoku/>
        <w:wordWrap/>
        <w:overflowPunct/>
        <w:topLinePunct w:val="0"/>
        <w:autoSpaceDE/>
        <w:autoSpaceDN/>
        <w:bidi w:val="0"/>
        <w:adjustRightInd/>
        <w:spacing w:line="480" w:lineRule="auto"/>
        <w:jc w:val="both"/>
        <w:textAlignment w:val="auto"/>
        <w:rPr>
          <w:rFonts w:ascii="Times New Roman" w:hAnsi="Times New Roman" w:eastAsia="Times New Roman" w:cs="Times New Roman"/>
        </w:rPr>
      </w:pPr>
    </w:p>
    <w:p>
      <w:pPr>
        <w:pageBreakBefore w:val="0"/>
        <w:kinsoku/>
        <w:wordWrap/>
        <w:overflowPunct/>
        <w:topLinePunct w:val="0"/>
        <w:autoSpaceDE/>
        <w:autoSpaceDN/>
        <w:bidi w:val="0"/>
        <w:adjustRightInd/>
        <w:spacing w:line="480" w:lineRule="auto"/>
        <w:jc w:val="both"/>
        <w:textAlignment w:val="auto"/>
        <w:rPr>
          <w:rFonts w:ascii="Times New Roman" w:hAnsi="Times New Roman" w:eastAsia="Times New Roman" w:cs="Times New Roman"/>
        </w:rPr>
      </w:pPr>
      <w:r>
        <w:drawing>
          <wp:inline distT="0" distB="0" distL="0" distR="0">
            <wp:extent cx="5943600" cy="1752600"/>
            <wp:effectExtent l="0" t="0" r="0" b="0"/>
            <wp:docPr id="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7.png"/>
                    <pic:cNvPicPr>
                      <a:picLocks noChangeAspect="1" noChangeArrowheads="1"/>
                    </pic:cNvPicPr>
                  </pic:nvPicPr>
                  <pic:blipFill>
                    <a:blip r:embed="rId10"/>
                    <a:stretch>
                      <a:fillRect/>
                    </a:stretch>
                  </pic:blipFill>
                  <pic:spPr>
                    <a:xfrm>
                      <a:off x="0" y="0"/>
                      <a:ext cx="5943600" cy="1752600"/>
                    </a:xfrm>
                    <a:prstGeom prst="rect">
                      <a:avLst/>
                    </a:prstGeom>
                  </pic:spPr>
                </pic:pic>
              </a:graphicData>
            </a:graphic>
          </wp:inline>
        </w:drawing>
      </w: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r>
        <w:rPr>
          <w:rFonts w:ascii="Times New Roman" w:hAnsi="Times New Roman" w:eastAsia="Times New Roman" w:cs="Times New Roman"/>
          <w:b/>
        </w:rPr>
        <w:t>Figure S5</w:t>
      </w:r>
      <w:r>
        <w:rPr>
          <w:rFonts w:ascii="Times New Roman" w:hAnsi="Times New Roman" w:eastAsia="Times New Roman" w:cs="Times New Roman"/>
        </w:rPr>
        <w:t xml:space="preserve">. </w:t>
      </w:r>
      <w:r>
        <w:rPr>
          <w:rFonts w:ascii="Times New Roman" w:hAnsi="Times New Roman" w:eastAsia="Times New Roman" w:cs="Times New Roman"/>
          <w:b w:val="0"/>
          <w:bCs/>
        </w:rPr>
        <w:t xml:space="preserve">Prediction coverage and distribution of deletions and amplifications </w:t>
      </w:r>
      <w:r>
        <w:rPr>
          <w:rFonts w:ascii="Times New Roman" w:hAnsi="Times New Roman" w:eastAsia="Times New Roman" w:cs="Times New Roman"/>
          <w:b/>
        </w:rPr>
        <w:t>A</w:t>
      </w:r>
      <w:r>
        <w:rPr>
          <w:rFonts w:ascii="Times New Roman" w:hAnsi="Times New Roman" w:eastAsia="Times New Roman" w:cs="Times New Roman"/>
        </w:rPr>
        <w:t xml:space="preserve">. The prediction coverage per caller and cancer cell line is presented. The evaluated callers predicted copy numbers for the genomes gapfree or with gaps. Using ReadDepth, MetaCNV, or CopyCat more than 95% of the genomes were covered with copy number predictions </w:t>
      </w:r>
      <w:r>
        <w:rPr>
          <w:rFonts w:ascii="Times New Roman" w:hAnsi="Times New Roman" w:eastAsia="Times New Roman" w:cs="Times New Roman"/>
          <w:b/>
        </w:rPr>
        <w:t>B.</w:t>
      </w:r>
      <w:r>
        <w:rPr>
          <w:rFonts w:ascii="Times New Roman" w:hAnsi="Times New Roman" w:eastAsia="Times New Roman" w:cs="Times New Roman"/>
        </w:rPr>
        <w:t xml:space="preserve"> For each cancer cell line, the number of true amplified and deleted genes are shown which are the basis to calculate MLRE, MSE, MAE, MCC, and Spearman’s correlation.</w:t>
      </w: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r>
        <w:drawing>
          <wp:inline distT="0" distB="0" distL="0" distR="0">
            <wp:extent cx="5943600" cy="6337300"/>
            <wp:effectExtent l="0" t="0" r="0" b="0"/>
            <wp:docPr id="6"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8.png"/>
                    <pic:cNvPicPr>
                      <a:picLocks noChangeAspect="1" noChangeArrowheads="1"/>
                    </pic:cNvPicPr>
                  </pic:nvPicPr>
                  <pic:blipFill>
                    <a:blip r:embed="rId11"/>
                    <a:stretch>
                      <a:fillRect/>
                    </a:stretch>
                  </pic:blipFill>
                  <pic:spPr>
                    <a:xfrm>
                      <a:off x="0" y="0"/>
                      <a:ext cx="5943600" cy="6337300"/>
                    </a:xfrm>
                    <a:prstGeom prst="rect">
                      <a:avLst/>
                    </a:prstGeom>
                  </pic:spPr>
                </pic:pic>
              </a:graphicData>
            </a:graphic>
          </wp:inline>
        </w:drawing>
      </w:r>
    </w:p>
    <w:p>
      <w:pPr>
        <w:pageBreakBefore w:val="0"/>
        <w:kinsoku/>
        <w:wordWrap/>
        <w:overflowPunct/>
        <w:topLinePunct w:val="0"/>
        <w:autoSpaceDE/>
        <w:autoSpaceDN/>
        <w:bidi w:val="0"/>
        <w:adjustRightInd/>
        <w:spacing w:line="480" w:lineRule="auto"/>
        <w:textAlignment w:val="auto"/>
      </w:pPr>
      <w:r>
        <w:rPr>
          <w:rFonts w:ascii="Times New Roman" w:hAnsi="Times New Roman" w:eastAsia="Times New Roman" w:cs="Times New Roman"/>
          <w:b/>
        </w:rPr>
        <w:t>Figure S6.</w:t>
      </w:r>
      <w:r>
        <w:rPr>
          <w:rFonts w:ascii="Times New Roman" w:hAnsi="Times New Roman" w:eastAsia="Times New Roman" w:cs="Times New Roman"/>
          <w:b w:val="0"/>
          <w:bCs/>
        </w:rPr>
        <w:t xml:space="preserve"> Distributions of copy number predictions for low coverage data.</w:t>
      </w:r>
      <w:r>
        <w:rPr>
          <w:rFonts w:ascii="Times New Roman" w:hAnsi="Times New Roman" w:eastAsia="Times New Roman" w:cs="Times New Roman"/>
          <w:b/>
        </w:rPr>
        <w:t xml:space="preserve"> </w:t>
      </w:r>
      <w:r>
        <w:rPr>
          <w:rFonts w:ascii="Times New Roman" w:hAnsi="Times New Roman" w:eastAsia="Times New Roman" w:cs="Times New Roman"/>
        </w:rPr>
        <w:t>Each method was run on single cell 1 in the cell line SKBR3. Per copy number rounded to one decimal, the total number of base pairs per copy number is shown. Copy numbers &lt; 0.1 were replaced by 0.1 to limit the log(</w:t>
      </w:r>
      <w:r>
        <w:rPr>
          <w:rFonts w:ascii="Times New Roman" w:hAnsi="Times New Roman" w:eastAsia="Times New Roman" w:cs="Times New Roman"/>
          <w:i/>
          <w:iCs/>
        </w:rPr>
        <w:t>CN</w:t>
      </w:r>
      <w:r>
        <w:rPr>
          <w:rFonts w:ascii="Times New Roman" w:hAnsi="Times New Roman" w:eastAsia="Times New Roman" w:cs="Times New Roman"/>
        </w:rPr>
        <w:t xml:space="preserve">) value to -1. CNVnator predicts both, a copy number and the CNV type; the distribution of predicted copy numbers is shown per predicted CNV type. </w:t>
      </w: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p>
    <w:p>
      <w:pPr>
        <w:pStyle w:val="4"/>
        <w:keepNext/>
        <w:keepLines w:val="0"/>
        <w:pageBreakBefore w:val="0"/>
        <w:kinsoku/>
        <w:wordWrap/>
        <w:overflowPunct/>
        <w:topLinePunct w:val="0"/>
        <w:autoSpaceDE/>
        <w:autoSpaceDN/>
        <w:bidi w:val="0"/>
        <w:adjustRightInd/>
        <w:spacing w:before="0" w:after="0" w:line="480" w:lineRule="auto"/>
        <w:textAlignment w:val="auto"/>
        <w:rPr>
          <w:b/>
          <w:sz w:val="22"/>
          <w:szCs w:val="22"/>
        </w:rPr>
      </w:pPr>
      <w:bookmarkStart w:id="3" w:name="_92oi3fhfyvn6"/>
      <w:bookmarkEnd w:id="3"/>
      <w:r>
        <w:rPr>
          <w:b/>
          <w:sz w:val="22"/>
          <w:szCs w:val="22"/>
        </w:rPr>
        <w:t>Callers’ prediction results and evaluations</w:t>
      </w:r>
    </w:p>
    <w:p>
      <w:pPr>
        <w:pStyle w:val="5"/>
        <w:pageBreakBefore w:val="0"/>
        <w:kinsoku/>
        <w:wordWrap/>
        <w:overflowPunct/>
        <w:topLinePunct w:val="0"/>
        <w:autoSpaceDE/>
        <w:autoSpaceDN/>
        <w:bidi w:val="0"/>
        <w:adjustRightInd/>
        <w:spacing w:before="0" w:after="0" w:line="480" w:lineRule="auto"/>
        <w:textAlignment w:val="auto"/>
        <w:rPr>
          <w:rFonts w:ascii="Times New Roman" w:hAnsi="Times New Roman" w:eastAsia="Times New Roman" w:cs="Times New Roman"/>
          <w:b/>
          <w:color w:val="000000"/>
          <w:sz w:val="22"/>
          <w:szCs w:val="22"/>
        </w:rPr>
      </w:pPr>
      <w:bookmarkStart w:id="4" w:name="_bvcuvfrkd8f"/>
      <w:bookmarkEnd w:id="4"/>
      <w:r>
        <w:drawing>
          <wp:inline distT="0" distB="0" distL="0" distR="0">
            <wp:extent cx="5943600" cy="1968500"/>
            <wp:effectExtent l="0" t="0" r="0" b="0"/>
            <wp:docPr id="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6.png"/>
                    <pic:cNvPicPr>
                      <a:picLocks noChangeAspect="1" noChangeArrowheads="1"/>
                    </pic:cNvPicPr>
                  </pic:nvPicPr>
                  <pic:blipFill>
                    <a:blip r:embed="rId12"/>
                    <a:stretch>
                      <a:fillRect/>
                    </a:stretch>
                  </pic:blipFill>
                  <pic:spPr>
                    <a:xfrm>
                      <a:off x="0" y="0"/>
                      <a:ext cx="5943600" cy="1968500"/>
                    </a:xfrm>
                    <a:prstGeom prst="rect">
                      <a:avLst/>
                    </a:prstGeom>
                  </pic:spPr>
                </pic:pic>
              </a:graphicData>
            </a:graphic>
          </wp:inline>
        </w:drawing>
      </w: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r>
        <w:rPr>
          <w:rFonts w:ascii="Times New Roman" w:hAnsi="Times New Roman" w:eastAsia="Times New Roman" w:cs="Times New Roman"/>
          <w:b/>
        </w:rPr>
        <w:t xml:space="preserve">Figure S7. </w:t>
      </w:r>
      <w:r>
        <w:rPr>
          <w:rFonts w:ascii="Times New Roman" w:hAnsi="Times New Roman" w:eastAsia="Times New Roman" w:cs="Times New Roman"/>
          <w:b w:val="0"/>
          <w:bCs/>
        </w:rPr>
        <w:t>Evaluation length and gaps in predictions. I</w:t>
      </w:r>
      <w:r>
        <w:rPr>
          <w:rFonts w:ascii="Times New Roman" w:hAnsi="Times New Roman" w:eastAsia="Times New Roman" w:cs="Times New Roman"/>
        </w:rPr>
        <w:t xml:space="preserve">f a mutated segment given by COSMIC does not completely cover a gene, the evaluation of a caller’s prediction accurateness was only considered for the reduced length, i.e. the evaluation length. If a caller did not predict a copy number for the complete evaluation length, the ploidy value was set for the length of the gap. Different copy number predictions for one gene were averaged considering the segment length, i.e. the sequence length per copy number, covering the gene. </w:t>
      </w: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r>
        <w:drawing>
          <wp:inline distT="0" distB="0" distL="0" distR="0">
            <wp:extent cx="5943600" cy="2159000"/>
            <wp:effectExtent l="0" t="0" r="0" b="0"/>
            <wp:docPr id="8"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8.png"/>
                    <pic:cNvPicPr>
                      <a:picLocks noChangeAspect="1" noChangeArrowheads="1"/>
                    </pic:cNvPicPr>
                  </pic:nvPicPr>
                  <pic:blipFill>
                    <a:blip r:embed="rId13"/>
                    <a:stretch>
                      <a:fillRect/>
                    </a:stretch>
                  </pic:blipFill>
                  <pic:spPr>
                    <a:xfrm>
                      <a:off x="0" y="0"/>
                      <a:ext cx="5943600" cy="2159000"/>
                    </a:xfrm>
                    <a:prstGeom prst="rect">
                      <a:avLst/>
                    </a:prstGeom>
                  </pic:spPr>
                </pic:pic>
              </a:graphicData>
            </a:graphic>
          </wp:inline>
        </w:drawing>
      </w: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r>
        <w:rPr>
          <w:rFonts w:ascii="Times New Roman" w:hAnsi="Times New Roman" w:eastAsia="Times New Roman" w:cs="Times New Roman"/>
          <w:b/>
        </w:rPr>
        <w:t xml:space="preserve">Figure S8. </w:t>
      </w:r>
      <w:r>
        <w:rPr>
          <w:rFonts w:ascii="Times New Roman" w:hAnsi="Times New Roman" w:eastAsia="Times New Roman" w:cs="Times New Roman"/>
          <w:b w:val="0"/>
          <w:bCs/>
        </w:rPr>
        <w:t xml:space="preserve">The distribution of MSE and MCC values for the predicted copy numbers of all used methods (MetaCNV, SVDetect simNormal, ReadDepth, Control-FREEC, CopyCat, and CNVnator) per cell line. </w:t>
      </w:r>
      <w:r>
        <w:rPr>
          <w:rFonts w:ascii="Times New Roman" w:hAnsi="Times New Roman" w:eastAsia="Times New Roman" w:cs="Times New Roman"/>
        </w:rPr>
        <w:t>The prediction results varied for high coverage data, but considerably more for low coverage data. For the HCC1187, HCC2218 with the highest read coverage among the evaluated cancer cell lines (104x &amp; 93x) the callers mainly agreed in their predictions.</w:t>
      </w: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color w:val="333333"/>
        </w:rPr>
      </w:pP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r>
        <w:drawing>
          <wp:inline distT="0" distB="0" distL="0" distR="0">
            <wp:extent cx="14605" cy="14605"/>
            <wp:effectExtent l="0" t="0" r="0" b="0"/>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png"/>
                    <pic:cNvPicPr>
                      <a:picLocks noChangeAspect="1" noChangeArrowheads="1"/>
                    </pic:cNvPicPr>
                  </pic:nvPicPr>
                  <pic:blipFill>
                    <a:blip r:embed="rId14"/>
                    <a:stretch>
                      <a:fillRect/>
                    </a:stretch>
                  </pic:blipFill>
                  <pic:spPr>
                    <a:xfrm>
                      <a:off x="0" y="0"/>
                      <a:ext cx="14605" cy="14605"/>
                    </a:xfrm>
                    <a:prstGeom prst="rect">
                      <a:avLst/>
                    </a:prstGeom>
                  </pic:spPr>
                </pic:pic>
              </a:graphicData>
            </a:graphic>
          </wp:inline>
        </w:drawing>
      </w:r>
      <w:r>
        <w:drawing>
          <wp:inline distT="0" distB="0" distL="0" distR="0">
            <wp:extent cx="5943600" cy="6375400"/>
            <wp:effectExtent l="0" t="0" r="0" b="0"/>
            <wp:docPr id="10"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9.png"/>
                    <pic:cNvPicPr>
                      <a:picLocks noChangeAspect="1" noChangeArrowheads="1"/>
                    </pic:cNvPicPr>
                  </pic:nvPicPr>
                  <pic:blipFill>
                    <a:blip r:embed="rId15"/>
                    <a:stretch>
                      <a:fillRect/>
                    </a:stretch>
                  </pic:blipFill>
                  <pic:spPr>
                    <a:xfrm>
                      <a:off x="0" y="0"/>
                      <a:ext cx="5943600" cy="6375400"/>
                    </a:xfrm>
                    <a:prstGeom prst="rect">
                      <a:avLst/>
                    </a:prstGeom>
                  </pic:spPr>
                </pic:pic>
              </a:graphicData>
            </a:graphic>
          </wp:inline>
        </w:drawing>
      </w: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r>
        <w:rPr>
          <w:rFonts w:ascii="Times New Roman" w:hAnsi="Times New Roman" w:eastAsia="Times New Roman" w:cs="Times New Roman"/>
          <w:b/>
        </w:rPr>
        <w:t>Figure S9.</w:t>
      </w:r>
      <w:r>
        <w:rPr>
          <w:rFonts w:ascii="Times New Roman" w:hAnsi="Times New Roman" w:eastAsia="Times New Roman" w:cs="Times New Roman"/>
        </w:rPr>
        <w:t xml:space="preserve"> Mean absolute error (</w:t>
      </w:r>
      <w:r>
        <w:rPr>
          <w:rFonts w:ascii="Times New Roman" w:hAnsi="Times New Roman" w:eastAsia="Times New Roman" w:cs="Times New Roman"/>
          <w:b/>
        </w:rPr>
        <w:t>A</w:t>
      </w:r>
      <w:r>
        <w:rPr>
          <w:rFonts w:ascii="Times New Roman" w:hAnsi="Times New Roman" w:eastAsia="Times New Roman" w:cs="Times New Roman"/>
        </w:rPr>
        <w:t>), mean squared error (</w:t>
      </w:r>
      <w:r>
        <w:rPr>
          <w:rFonts w:ascii="Times New Roman" w:hAnsi="Times New Roman" w:eastAsia="Times New Roman" w:cs="Times New Roman"/>
          <w:b/>
        </w:rPr>
        <w:t>B</w:t>
      </w:r>
      <w:r>
        <w:rPr>
          <w:rFonts w:ascii="Times New Roman" w:hAnsi="Times New Roman" w:eastAsia="Times New Roman" w:cs="Times New Roman"/>
        </w:rPr>
        <w:t>), and Spearman’s correlation (</w:t>
      </w:r>
      <w:r>
        <w:rPr>
          <w:rFonts w:ascii="Times New Roman" w:hAnsi="Times New Roman" w:eastAsia="Times New Roman" w:cs="Times New Roman"/>
          <w:b/>
        </w:rPr>
        <w:t>C</w:t>
      </w:r>
      <w:r>
        <w:rPr>
          <w:rFonts w:ascii="Times New Roman" w:hAnsi="Times New Roman" w:eastAsia="Times New Roman" w:cs="Times New Roman"/>
        </w:rPr>
        <w:t>) for high coverage data.</w:t>
      </w:r>
      <w:r>
        <w:rPr>
          <w:rFonts w:ascii="Times New Roman" w:hAnsi="Times New Roman" w:eastAsia="Times New Roman" w:cs="Times New Roman"/>
          <w:b/>
        </w:rPr>
        <w:t xml:space="preserve"> D</w:t>
      </w:r>
      <w:r>
        <w:rPr>
          <w:rFonts w:ascii="Times New Roman" w:hAnsi="Times New Roman" w:eastAsia="Times New Roman" w:cs="Times New Roman"/>
        </w:rPr>
        <w:t xml:space="preserve"> presents the overall results for A and B averaged across all benchmarked cell lines. </w:t>
      </w: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b/>
        </w:rPr>
      </w:pPr>
      <w:r>
        <w:drawing>
          <wp:inline distT="0" distB="0" distL="0" distR="0">
            <wp:extent cx="5943600" cy="3479800"/>
            <wp:effectExtent l="0" t="0" r="0" b="0"/>
            <wp:docPr id="1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6.png"/>
                    <pic:cNvPicPr>
                      <a:picLocks noChangeAspect="1" noChangeArrowheads="1"/>
                    </pic:cNvPicPr>
                  </pic:nvPicPr>
                  <pic:blipFill>
                    <a:blip r:embed="rId16"/>
                    <a:stretch>
                      <a:fillRect/>
                    </a:stretch>
                  </pic:blipFill>
                  <pic:spPr>
                    <a:xfrm>
                      <a:off x="0" y="0"/>
                      <a:ext cx="5943600" cy="3479800"/>
                    </a:xfrm>
                    <a:prstGeom prst="rect">
                      <a:avLst/>
                    </a:prstGeom>
                  </pic:spPr>
                </pic:pic>
              </a:graphicData>
            </a:graphic>
          </wp:inline>
        </w:drawing>
      </w: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r>
        <w:rPr>
          <w:rFonts w:ascii="Times New Roman" w:hAnsi="Times New Roman" w:eastAsia="Times New Roman" w:cs="Times New Roman"/>
          <w:b/>
        </w:rPr>
        <w:t>Figure S10</w:t>
      </w:r>
      <w:r>
        <w:rPr>
          <w:rFonts w:ascii="Times New Roman" w:hAnsi="Times New Roman" w:eastAsia="Times New Roman" w:cs="Times New Roman"/>
        </w:rPr>
        <w:t>.</w:t>
      </w:r>
      <w:r>
        <w:rPr>
          <w:rFonts w:ascii="Times New Roman" w:hAnsi="Times New Roman" w:eastAsia="Times New Roman" w:cs="Times New Roman"/>
          <w:b w:val="0"/>
          <w:bCs/>
        </w:rPr>
        <w:t xml:space="preserve"> Prediction results visualised for HCC2218. </w:t>
      </w:r>
      <w:r>
        <w:rPr>
          <w:rFonts w:ascii="Times New Roman" w:hAnsi="Times New Roman" w:eastAsia="Times New Roman" w:cs="Times New Roman"/>
        </w:rPr>
        <w:t xml:space="preserve">For each caller, the predicted copy numbers were sorted independently by true copy numbers and within each true copy number by predicted copy number. It can be seen that MetaCNV predicts values close to the true copy numbers, i.e. low variance of residuals. For example, MetaCNV predicts a range of </w:t>
      </w:r>
      <w:r>
        <w:rPr>
          <w:rFonts w:ascii="Times New Roman" w:hAnsi="Times New Roman" w:eastAsia="Times New Roman" w:cs="Times New Roman"/>
          <w:i/>
          <w:iCs/>
        </w:rPr>
        <w:t>CN</w:t>
      </w:r>
      <w:r>
        <w:rPr>
          <w:rFonts w:ascii="Times New Roman" w:hAnsi="Times New Roman" w:eastAsia="Times New Roman" w:cs="Times New Roman"/>
          <w:i/>
          <w:iCs/>
          <w:vertAlign w:val="subscript"/>
        </w:rPr>
        <w:t>Met</w:t>
      </w:r>
      <w:r>
        <w:rPr>
          <w:rFonts w:ascii="Times New Roman" w:hAnsi="Times New Roman" w:eastAsia="Times New Roman" w:cs="Times New Roman"/>
          <w:vertAlign w:val="subscript"/>
        </w:rPr>
        <w:t>a</w:t>
      </w:r>
      <w:r>
        <w:rPr>
          <w:rFonts w:ascii="Times New Roman" w:hAnsi="Times New Roman" w:eastAsia="Times New Roman" w:cs="Times New Roman"/>
        </w:rPr>
        <w:t xml:space="preserve">={7 ..14} for true copy numbers </w:t>
      </w:r>
      <w:r>
        <w:rPr>
          <w:rFonts w:ascii="Times New Roman" w:hAnsi="Times New Roman" w:eastAsia="Times New Roman" w:cs="Times New Roman"/>
          <w:i/>
          <w:iCs/>
        </w:rPr>
        <w:t>CN</w:t>
      </w:r>
      <w:r>
        <w:rPr>
          <w:rFonts w:ascii="Times New Roman" w:hAnsi="Times New Roman" w:eastAsia="Times New Roman" w:cs="Times New Roman"/>
          <w:i/>
          <w:iCs/>
          <w:vertAlign w:val="subscript"/>
        </w:rPr>
        <w:t>tru</w:t>
      </w:r>
      <w:r>
        <w:rPr>
          <w:rFonts w:ascii="Times New Roman" w:hAnsi="Times New Roman" w:eastAsia="Times New Roman" w:cs="Times New Roman"/>
          <w:vertAlign w:val="subscript"/>
        </w:rPr>
        <w:t>e</w:t>
      </w:r>
      <w:r>
        <w:rPr>
          <w:rFonts w:ascii="Times New Roman" w:hAnsi="Times New Roman" w:eastAsia="Times New Roman" w:cs="Times New Roman"/>
        </w:rPr>
        <w:t xml:space="preserve">=14 and a </w:t>
      </w:r>
      <w:r>
        <w:rPr>
          <w:rFonts w:ascii="Times New Roman" w:hAnsi="Times New Roman" w:eastAsia="Times New Roman" w:cs="Times New Roman"/>
          <w:i/>
          <w:iCs/>
        </w:rPr>
        <w:t>CN</w:t>
      </w:r>
      <w:r>
        <w:rPr>
          <w:rFonts w:ascii="Times New Roman" w:hAnsi="Times New Roman" w:eastAsia="Times New Roman" w:cs="Times New Roman"/>
          <w:i/>
          <w:iCs/>
          <w:vertAlign w:val="subscript"/>
        </w:rPr>
        <w:t>Meta</w:t>
      </w:r>
      <w:r>
        <w:rPr>
          <w:rFonts w:ascii="Times New Roman" w:hAnsi="Times New Roman" w:eastAsia="Times New Roman" w:cs="Times New Roman"/>
        </w:rPr>
        <w:t xml:space="preserve">=14 only for true copy numbers </w:t>
      </w:r>
      <w:r>
        <w:rPr>
          <w:rFonts w:ascii="Times New Roman" w:hAnsi="Times New Roman" w:eastAsia="Times New Roman" w:cs="Times New Roman"/>
          <w:i/>
          <w:iCs/>
        </w:rPr>
        <w:t>CN</w:t>
      </w:r>
      <w:r>
        <w:rPr>
          <w:rFonts w:ascii="Times New Roman" w:hAnsi="Times New Roman" w:eastAsia="Times New Roman" w:cs="Times New Roman"/>
          <w:i/>
          <w:iCs/>
          <w:vertAlign w:val="subscript"/>
        </w:rPr>
        <w:t>true</w:t>
      </w:r>
      <w:r>
        <w:rPr>
          <w:rFonts w:ascii="Times New Roman" w:hAnsi="Times New Roman" w:eastAsia="Times New Roman" w:cs="Times New Roman"/>
        </w:rPr>
        <w:t xml:space="preserve">=14; whereas Control-FREEC predicts different copy numbers for genes with a </w:t>
      </w:r>
      <w:r>
        <w:rPr>
          <w:rFonts w:ascii="Times New Roman" w:hAnsi="Times New Roman" w:eastAsia="Times New Roman" w:cs="Times New Roman"/>
          <w:i/>
          <w:iCs/>
        </w:rPr>
        <w:t>CN</w:t>
      </w:r>
      <w:r>
        <w:rPr>
          <w:rFonts w:ascii="Times New Roman" w:hAnsi="Times New Roman" w:eastAsia="Times New Roman" w:cs="Times New Roman"/>
          <w:i/>
          <w:iCs/>
          <w:vertAlign w:val="subscript"/>
        </w:rPr>
        <w:t>true</w:t>
      </w:r>
      <w:r>
        <w:rPr>
          <w:rFonts w:ascii="Times New Roman" w:hAnsi="Times New Roman" w:eastAsia="Times New Roman" w:cs="Times New Roman"/>
        </w:rPr>
        <w:t>=14 (11</w:t>
      </w:r>
      <w:r>
        <w:rPr>
          <w:rFonts w:hint="default" w:ascii="Times New Roman" w:hAnsi="Times New Roman" w:eastAsia="Times New Roman" w:cs="Times New Roman"/>
          <w:lang w:val="sv-SE"/>
        </w:rPr>
        <w:t xml:space="preserve"> </w:t>
      </w:r>
      <w:r>
        <w:rPr>
          <w:rFonts w:ascii="Times New Roman" w:hAnsi="Times New Roman" w:eastAsia="Times New Roman" w:cs="Times New Roman"/>
        </w:rPr>
        <w:t>&lt;</w:t>
      </w:r>
      <w:r>
        <w:rPr>
          <w:rFonts w:hint="default" w:ascii="Times New Roman" w:hAnsi="Times New Roman" w:eastAsia="Times New Roman" w:cs="Times New Roman"/>
          <w:lang w:val="sv-SE"/>
        </w:rPr>
        <w:t xml:space="preserve"> </w:t>
      </w:r>
      <w:r>
        <w:rPr>
          <w:rFonts w:ascii="Times New Roman" w:hAnsi="Times New Roman" w:eastAsia="Times New Roman" w:cs="Times New Roman"/>
          <w:i/>
          <w:iCs/>
        </w:rPr>
        <w:t>CN</w:t>
      </w:r>
      <w:r>
        <w:rPr>
          <w:rFonts w:ascii="Times New Roman" w:hAnsi="Times New Roman" w:eastAsia="Times New Roman" w:cs="Times New Roman"/>
          <w:i/>
          <w:iCs/>
          <w:vertAlign w:val="subscript"/>
        </w:rPr>
        <w:t>SVDetect</w:t>
      </w:r>
      <w:r>
        <w:rPr>
          <w:rFonts w:hint="default" w:ascii="Times New Roman" w:hAnsi="Times New Roman" w:eastAsia="Times New Roman" w:cs="Times New Roman"/>
          <w:vertAlign w:val="subscript"/>
          <w:lang w:val="sv-SE"/>
        </w:rPr>
        <w:t xml:space="preserve"> </w:t>
      </w:r>
      <w:r>
        <w:rPr>
          <w:rFonts w:ascii="Times New Roman" w:hAnsi="Times New Roman" w:eastAsia="Times New Roman" w:cs="Times New Roman"/>
        </w:rPr>
        <w:t>&lt;</w:t>
      </w:r>
      <w:r>
        <w:rPr>
          <w:rFonts w:hint="default" w:ascii="Times New Roman" w:hAnsi="Times New Roman" w:eastAsia="Times New Roman" w:cs="Times New Roman"/>
          <w:lang w:val="sv-SE"/>
        </w:rPr>
        <w:t xml:space="preserve"> </w:t>
      </w:r>
      <w:r>
        <w:rPr>
          <w:rFonts w:ascii="Times New Roman" w:hAnsi="Times New Roman" w:eastAsia="Times New Roman" w:cs="Times New Roman"/>
        </w:rPr>
        <w:t xml:space="preserve">26) and a </w:t>
      </w:r>
      <w:r>
        <w:rPr>
          <w:rFonts w:ascii="Times New Roman" w:hAnsi="Times New Roman" w:eastAsia="Times New Roman" w:cs="Times New Roman"/>
          <w:i/>
          <w:iCs/>
        </w:rPr>
        <w:t>CN</w:t>
      </w:r>
      <w:r>
        <w:rPr>
          <w:rFonts w:ascii="Times New Roman" w:hAnsi="Times New Roman" w:eastAsia="Times New Roman" w:cs="Times New Roman"/>
          <w:i/>
          <w:iCs/>
          <w:vertAlign w:val="subscript"/>
        </w:rPr>
        <w:t>SVDetect</w:t>
      </w:r>
      <w:r>
        <w:rPr>
          <w:rFonts w:ascii="Times New Roman" w:hAnsi="Times New Roman" w:eastAsia="Times New Roman" w:cs="Times New Roman"/>
        </w:rPr>
        <w:t xml:space="preserve">=11 was predicted for genes with </w:t>
      </w:r>
      <w:r>
        <w:rPr>
          <w:rFonts w:ascii="Times New Roman" w:hAnsi="Times New Roman" w:eastAsia="Times New Roman" w:cs="Times New Roman"/>
          <w:i/>
          <w:iCs/>
        </w:rPr>
        <w:t>CN</w:t>
      </w:r>
      <w:r>
        <w:rPr>
          <w:rFonts w:ascii="Times New Roman" w:hAnsi="Times New Roman" w:eastAsia="Times New Roman" w:cs="Times New Roman"/>
          <w:i/>
          <w:iCs/>
          <w:vertAlign w:val="subscript"/>
        </w:rPr>
        <w:t>true</w:t>
      </w:r>
      <w:r>
        <w:rPr>
          <w:rFonts w:ascii="Times New Roman" w:hAnsi="Times New Roman" w:eastAsia="Times New Roman" w:cs="Times New Roman"/>
        </w:rPr>
        <w:t>={10, 12, 13}.</w:t>
      </w: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r>
        <w:br w:type="page"/>
      </w:r>
    </w:p>
    <w:p>
      <w:pPr>
        <w:pStyle w:val="4"/>
        <w:keepNext/>
        <w:keepLines w:val="0"/>
        <w:pageBreakBefore w:val="0"/>
        <w:kinsoku/>
        <w:wordWrap/>
        <w:overflowPunct/>
        <w:topLinePunct w:val="0"/>
        <w:autoSpaceDE/>
        <w:autoSpaceDN/>
        <w:bidi w:val="0"/>
        <w:adjustRightInd/>
        <w:spacing w:before="0" w:after="0" w:line="480" w:lineRule="auto"/>
        <w:textAlignment w:val="auto"/>
        <w:rPr>
          <w:b/>
          <w:sz w:val="22"/>
          <w:szCs w:val="22"/>
        </w:rPr>
      </w:pPr>
      <w:bookmarkStart w:id="5" w:name="_a2see5jdqwzw"/>
      <w:bookmarkEnd w:id="5"/>
      <w:r>
        <w:rPr>
          <w:b/>
          <w:sz w:val="22"/>
          <w:szCs w:val="22"/>
        </w:rPr>
        <w:t>Low coverage data</w:t>
      </w: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r>
        <w:drawing>
          <wp:inline distT="0" distB="0" distL="0" distR="0">
            <wp:extent cx="5943600" cy="6400800"/>
            <wp:effectExtent l="0" t="0" r="0" b="0"/>
            <wp:docPr id="12"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22.png"/>
                    <pic:cNvPicPr>
                      <a:picLocks noChangeAspect="1" noChangeArrowheads="1"/>
                    </pic:cNvPicPr>
                  </pic:nvPicPr>
                  <pic:blipFill>
                    <a:blip r:embed="rId17"/>
                    <a:stretch>
                      <a:fillRect/>
                    </a:stretch>
                  </pic:blipFill>
                  <pic:spPr>
                    <a:xfrm>
                      <a:off x="0" y="0"/>
                      <a:ext cx="5943600" cy="6400800"/>
                    </a:xfrm>
                    <a:prstGeom prst="rect">
                      <a:avLst/>
                    </a:prstGeom>
                  </pic:spPr>
                </pic:pic>
              </a:graphicData>
            </a:graphic>
          </wp:inline>
        </w:drawing>
      </w: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color w:val="333333"/>
        </w:rPr>
      </w:pPr>
      <w:r>
        <w:rPr>
          <w:rFonts w:ascii="Times New Roman" w:hAnsi="Times New Roman" w:eastAsia="Times New Roman" w:cs="Times New Roman"/>
          <w:b/>
        </w:rPr>
        <w:t>Figure S11.</w:t>
      </w:r>
      <w:r>
        <w:rPr>
          <w:rFonts w:ascii="Times New Roman" w:hAnsi="Times New Roman" w:eastAsia="Times New Roman" w:cs="Times New Roman"/>
          <w:b w:val="0"/>
          <w:bCs w:val="0"/>
        </w:rPr>
        <w:t xml:space="preserve"> Additional error benchmarks for low coverage data. Me</w:t>
      </w:r>
      <w:r>
        <w:rPr>
          <w:rFonts w:ascii="Times New Roman" w:hAnsi="Times New Roman" w:eastAsia="Times New Roman" w:cs="Times New Roman"/>
        </w:rPr>
        <w:t xml:space="preserve">an absolute error (A), mean squared error (B) for single sequenced </w:t>
      </w:r>
      <w:r>
        <w:rPr>
          <w:rFonts w:ascii="Times New Roman" w:hAnsi="Times New Roman" w:eastAsia="Times New Roman" w:cs="Times New Roman"/>
          <w:color w:val="333333"/>
        </w:rPr>
        <w:t>cell line SKBR3. Both error measures are shown without (left) and with CNVnator (right)</w:t>
      </w: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r>
        <w:drawing>
          <wp:inline distT="0" distB="0" distL="0" distR="0">
            <wp:extent cx="5943600" cy="3683000"/>
            <wp:effectExtent l="0" t="0" r="0" b="0"/>
            <wp:docPr id="1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7.png"/>
                    <pic:cNvPicPr>
                      <a:picLocks noChangeAspect="1" noChangeArrowheads="1"/>
                    </pic:cNvPicPr>
                  </pic:nvPicPr>
                  <pic:blipFill>
                    <a:blip r:embed="rId18"/>
                    <a:stretch>
                      <a:fillRect/>
                    </a:stretch>
                  </pic:blipFill>
                  <pic:spPr>
                    <a:xfrm>
                      <a:off x="0" y="0"/>
                      <a:ext cx="5943600" cy="3683000"/>
                    </a:xfrm>
                    <a:prstGeom prst="rect">
                      <a:avLst/>
                    </a:prstGeom>
                  </pic:spPr>
                </pic:pic>
              </a:graphicData>
            </a:graphic>
          </wp:inline>
        </w:drawing>
      </w: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r>
        <w:rPr>
          <w:rFonts w:ascii="Times New Roman" w:hAnsi="Times New Roman" w:eastAsia="Times New Roman" w:cs="Times New Roman"/>
          <w:b/>
        </w:rPr>
        <w:t xml:space="preserve">Figure S12. </w:t>
      </w:r>
      <w:r>
        <w:rPr>
          <w:rFonts w:ascii="Times New Roman" w:hAnsi="Times New Roman" w:eastAsia="Times New Roman" w:cs="Times New Roman"/>
          <w:b w:val="0"/>
          <w:bCs/>
        </w:rPr>
        <w:t xml:space="preserve">Additional benchmarks for low coverage data. </w:t>
      </w:r>
      <w:r>
        <w:rPr>
          <w:rFonts w:ascii="Times New Roman" w:hAnsi="Times New Roman" w:eastAsia="Times New Roman" w:cs="Times New Roman"/>
          <w:b/>
          <w:bCs/>
        </w:rPr>
        <w:t>A</w:t>
      </w:r>
      <w:r>
        <w:rPr>
          <w:rFonts w:ascii="Times New Roman" w:hAnsi="Times New Roman" w:eastAsia="Times New Roman" w:cs="Times New Roman"/>
        </w:rPr>
        <w:t xml:space="preserve"> Mean log ratio error (y-axis) versus variance of residuals (x-axis) for low coverage data. </w:t>
      </w:r>
      <w:r>
        <w:rPr>
          <w:rFonts w:ascii="Times New Roman" w:hAnsi="Times New Roman" w:eastAsia="Times New Roman" w:cs="Times New Roman"/>
          <w:b/>
          <w:bCs/>
        </w:rPr>
        <w:t>B</w:t>
      </w:r>
      <w:r>
        <w:rPr>
          <w:rFonts w:ascii="Times New Roman" w:hAnsi="Times New Roman" w:eastAsia="Times New Roman" w:cs="Times New Roman"/>
        </w:rPr>
        <w:t xml:space="preserve"> Spearman's correlation for low coverage data.</w:t>
      </w:r>
    </w:p>
    <w:p>
      <w:pPr>
        <w:keepNext/>
        <w:keepLines w:val="0"/>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r>
        <w:drawing>
          <wp:inline distT="0" distB="0" distL="0" distR="0">
            <wp:extent cx="5162550" cy="8476615"/>
            <wp:effectExtent l="0" t="0" r="0" b="0"/>
            <wp:docPr id="14"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13.png"/>
                    <pic:cNvPicPr>
                      <a:picLocks noChangeAspect="1" noChangeArrowheads="1"/>
                    </pic:cNvPicPr>
                  </pic:nvPicPr>
                  <pic:blipFill>
                    <a:blip r:embed="rId19"/>
                    <a:stretch>
                      <a:fillRect/>
                    </a:stretch>
                  </pic:blipFill>
                  <pic:spPr>
                    <a:xfrm>
                      <a:off x="0" y="0"/>
                      <a:ext cx="5162550" cy="8476615"/>
                    </a:xfrm>
                    <a:prstGeom prst="rect">
                      <a:avLst/>
                    </a:prstGeom>
                  </pic:spPr>
                </pic:pic>
              </a:graphicData>
            </a:graphic>
          </wp:inline>
        </w:drawing>
      </w: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r>
        <w:rPr>
          <w:rFonts w:ascii="Times New Roman" w:hAnsi="Times New Roman" w:eastAsia="Times New Roman" w:cs="Times New Roman"/>
          <w:b/>
        </w:rPr>
        <w:t xml:space="preserve">Figure S13. </w:t>
      </w:r>
      <w:r>
        <w:rPr>
          <w:rFonts w:ascii="Times New Roman" w:hAnsi="Times New Roman" w:eastAsia="Times New Roman" w:cs="Times New Roman"/>
          <w:b w:val="0"/>
          <w:bCs/>
        </w:rPr>
        <w:t xml:space="preserve">Prediction results visualised for cell line SKBR3. </w:t>
      </w:r>
      <w:r>
        <w:rPr>
          <w:rFonts w:ascii="Times New Roman" w:hAnsi="Times New Roman" w:eastAsia="Times New Roman" w:cs="Times New Roman"/>
        </w:rPr>
        <w:t>With increasing coverage (1x to 6x), less genes were predicted as deleted, simultaneously, more predicted copy numbers exceeded the true copy numbers. For each caller, the predicted copy numbers were sorted independently by true copy numbers and within each true copy number by predicted copy number. Copy numbers &lt; 0.1 were replaced by 0.1 to limit the log(</w:t>
      </w:r>
      <w:r>
        <w:rPr>
          <w:rFonts w:ascii="Times New Roman" w:hAnsi="Times New Roman" w:eastAsia="Times New Roman" w:cs="Times New Roman"/>
          <w:i/>
          <w:iCs/>
        </w:rPr>
        <w:t>CN</w:t>
      </w:r>
      <w:r>
        <w:rPr>
          <w:rFonts w:ascii="Times New Roman" w:hAnsi="Times New Roman" w:eastAsia="Times New Roman" w:cs="Times New Roman"/>
        </w:rPr>
        <w:t xml:space="preserve">) value to -1. </w:t>
      </w: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p>
    <w:p>
      <w:pPr>
        <w:pageBreakBefore w:val="0"/>
        <w:kinsoku/>
        <w:wordWrap/>
        <w:overflowPunct/>
        <w:topLinePunct w:val="0"/>
        <w:autoSpaceDE/>
        <w:autoSpaceDN/>
        <w:bidi w:val="0"/>
        <w:adjustRightInd/>
        <w:spacing w:line="480" w:lineRule="auto"/>
        <w:jc w:val="center"/>
        <w:textAlignment w:val="auto"/>
        <w:rPr>
          <w:rFonts w:ascii="Times New Roman" w:hAnsi="Times New Roman" w:eastAsia="Times New Roman" w:cs="Times New Roman"/>
        </w:rPr>
      </w:pPr>
      <w:r>
        <w:drawing>
          <wp:inline distT="0" distB="0" distL="0" distR="0">
            <wp:extent cx="5575300" cy="7192645"/>
            <wp:effectExtent l="0" t="0" r="0" b="0"/>
            <wp:docPr id="1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20.png"/>
                    <pic:cNvPicPr>
                      <a:picLocks noChangeAspect="1" noChangeArrowheads="1"/>
                    </pic:cNvPicPr>
                  </pic:nvPicPr>
                  <pic:blipFill>
                    <a:blip r:embed="rId20"/>
                    <a:stretch>
                      <a:fillRect/>
                    </a:stretch>
                  </pic:blipFill>
                  <pic:spPr>
                    <a:xfrm>
                      <a:off x="0" y="0"/>
                      <a:ext cx="5575300" cy="7192645"/>
                    </a:xfrm>
                    <a:prstGeom prst="rect">
                      <a:avLst/>
                    </a:prstGeom>
                  </pic:spPr>
                </pic:pic>
              </a:graphicData>
            </a:graphic>
          </wp:inline>
        </w:drawing>
      </w: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r>
        <w:rPr>
          <w:rFonts w:ascii="Times New Roman" w:hAnsi="Times New Roman" w:eastAsia="Times New Roman" w:cs="Times New Roman"/>
          <w:b/>
        </w:rPr>
        <w:t xml:space="preserve">Figure S14. </w:t>
      </w:r>
      <w:r>
        <w:rPr>
          <w:rFonts w:ascii="Times New Roman" w:hAnsi="Times New Roman" w:eastAsia="Times New Roman" w:cs="Times New Roman"/>
          <w:b w:val="0"/>
          <w:bCs/>
        </w:rPr>
        <w:t>Comparison of MetaCNV run with simNull and with simNormal f</w:t>
      </w:r>
      <w:r>
        <w:rPr>
          <w:rFonts w:ascii="Times New Roman" w:hAnsi="Times New Roman" w:eastAsia="Times New Roman" w:cs="Times New Roman"/>
        </w:rPr>
        <w:t>or both low (A) and high coverage data (B). The Input of MetaCNV simNull (default) is ReadDepth and SVDetect using simNull as matched sample; the input of MetaCNV simNormal is also ReadDepth but SVDetect using simNormal as matched sample.</w:t>
      </w: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p>
    <w:p>
      <w:pPr>
        <w:pageBreakBefore w:val="0"/>
        <w:kinsoku/>
        <w:wordWrap/>
        <w:overflowPunct/>
        <w:topLinePunct w:val="0"/>
        <w:autoSpaceDE/>
        <w:autoSpaceDN/>
        <w:bidi w:val="0"/>
        <w:adjustRightInd/>
        <w:spacing w:line="480" w:lineRule="auto"/>
        <w:textAlignment w:val="auto"/>
      </w:pPr>
      <w:r>
        <w:drawing>
          <wp:inline distT="0" distB="0" distL="0" distR="0">
            <wp:extent cx="5943600" cy="2692400"/>
            <wp:effectExtent l="0" t="0" r="0" b="0"/>
            <wp:docPr id="16"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0.png"/>
                    <pic:cNvPicPr>
                      <a:picLocks noChangeAspect="1" noChangeArrowheads="1"/>
                    </pic:cNvPicPr>
                  </pic:nvPicPr>
                  <pic:blipFill>
                    <a:blip r:embed="rId21"/>
                    <a:stretch>
                      <a:fillRect/>
                    </a:stretch>
                  </pic:blipFill>
                  <pic:spPr>
                    <a:xfrm>
                      <a:off x="0" y="0"/>
                      <a:ext cx="5943600" cy="2692400"/>
                    </a:xfrm>
                    <a:prstGeom prst="rect">
                      <a:avLst/>
                    </a:prstGeom>
                  </pic:spPr>
                </pic:pic>
              </a:graphicData>
            </a:graphic>
          </wp:inline>
        </w:drawing>
      </w: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r>
        <w:rPr>
          <w:rFonts w:ascii="Times New Roman" w:hAnsi="Times New Roman" w:eastAsia="Times New Roman" w:cs="Times New Roman"/>
          <w:b/>
        </w:rPr>
        <w:t>Figure S15.</w:t>
      </w:r>
      <w:r>
        <w:rPr>
          <w:rFonts w:ascii="Times New Roman" w:hAnsi="Times New Roman" w:eastAsia="Times New Roman" w:cs="Times New Roman"/>
          <w:b w:val="0"/>
          <w:bCs w:val="0"/>
        </w:rPr>
        <w:t xml:space="preserve"> Prediction result of MetaCVN with and without distortion correction (equalizer factor q) visualised for HCC2218. </w:t>
      </w:r>
      <w:r>
        <w:rPr>
          <w:rFonts w:ascii="Times New Roman" w:hAnsi="Times New Roman" w:eastAsia="Times New Roman" w:cs="Times New Roman"/>
        </w:rPr>
        <w:t>For each caller, the predicted copy numbers were sorted independently by true copy number and within each true copy number by predicted copy number.</w:t>
      </w: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r>
        <w:br w:type="page"/>
      </w: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p>
    <w:p>
      <w:pPr>
        <w:pStyle w:val="4"/>
        <w:keepNext/>
        <w:keepLines w:val="0"/>
        <w:pageBreakBefore w:val="0"/>
        <w:kinsoku/>
        <w:wordWrap/>
        <w:overflowPunct/>
        <w:topLinePunct w:val="0"/>
        <w:autoSpaceDE/>
        <w:autoSpaceDN/>
        <w:bidi w:val="0"/>
        <w:adjustRightInd/>
        <w:spacing w:before="0" w:after="0" w:line="480" w:lineRule="auto"/>
        <w:textAlignment w:val="auto"/>
        <w:rPr>
          <w:b/>
        </w:rPr>
      </w:pPr>
      <w:bookmarkStart w:id="6" w:name="_d0qvf9n8youa"/>
      <w:bookmarkEnd w:id="6"/>
      <w:r>
        <w:rPr>
          <w:b/>
        </w:rPr>
        <w:t>Bias and Variances</w:t>
      </w: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b w:val="0"/>
          <w:bCs/>
        </w:rPr>
      </w:pPr>
      <w:r>
        <w:rPr>
          <w:rFonts w:ascii="Times New Roman" w:hAnsi="Times New Roman" w:eastAsia="Times New Roman" w:cs="Times New Roman"/>
          <w:b/>
          <w:color w:val="333333"/>
        </w:rPr>
        <w:t>Table S4.</w:t>
      </w:r>
      <w:r>
        <w:rPr>
          <w:rFonts w:ascii="Times New Roman" w:hAnsi="Times New Roman" w:eastAsia="Times New Roman" w:cs="Times New Roman"/>
          <w:b w:val="0"/>
          <w:bCs/>
          <w:color w:val="333333"/>
        </w:rPr>
        <w:t xml:space="preserve"> </w:t>
      </w:r>
      <w:r>
        <w:rPr>
          <w:rFonts w:ascii="Times New Roman" w:hAnsi="Times New Roman" w:eastAsia="Times New Roman" w:cs="Times New Roman"/>
          <w:b w:val="0"/>
          <w:bCs/>
        </w:rPr>
        <w:t xml:space="preserve">Bias (systematic error) per caller for single sequenced </w:t>
      </w:r>
      <w:r>
        <w:rPr>
          <w:rFonts w:ascii="Times New Roman" w:hAnsi="Times New Roman" w:eastAsia="Times New Roman" w:cs="Times New Roman"/>
          <w:b w:val="0"/>
          <w:bCs/>
          <w:color w:val="333333"/>
        </w:rPr>
        <w:t>cell line SKBR3</w:t>
      </w:r>
    </w:p>
    <w:tbl>
      <w:tblPr>
        <w:tblStyle w:val="17"/>
        <w:tblW w:w="9411" w:type="dxa"/>
        <w:tblInd w:w="37" w:type="dxa"/>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
      <w:tblGrid>
        <w:gridCol w:w="1530"/>
        <w:gridCol w:w="1095"/>
        <w:gridCol w:w="1357"/>
        <w:gridCol w:w="1357"/>
        <w:gridCol w:w="1357"/>
        <w:gridCol w:w="1357"/>
        <w:gridCol w:w="1358"/>
      </w:tblGrid>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c>
          <w:tcPr>
            <w:tcW w:w="153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Method</w:t>
            </w:r>
          </w:p>
        </w:tc>
        <w:tc>
          <w:tcPr>
            <w:tcW w:w="109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1 cell</w:t>
            </w:r>
          </w:p>
        </w:tc>
        <w:tc>
          <w:tcPr>
            <w:tcW w:w="1357"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2 cells</w:t>
            </w:r>
          </w:p>
        </w:tc>
        <w:tc>
          <w:tcPr>
            <w:tcW w:w="1357"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3 cells</w:t>
            </w:r>
          </w:p>
        </w:tc>
        <w:tc>
          <w:tcPr>
            <w:tcW w:w="1357"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4 cells</w:t>
            </w:r>
          </w:p>
        </w:tc>
        <w:tc>
          <w:tcPr>
            <w:tcW w:w="1357"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5 cells</w:t>
            </w:r>
          </w:p>
        </w:tc>
        <w:tc>
          <w:tcPr>
            <w:tcW w:w="1358"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6 cells</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280" w:hRule="atLeast"/>
        </w:trPr>
        <w:tc>
          <w:tcPr>
            <w:tcW w:w="153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CNVnator</w:t>
            </w:r>
          </w:p>
        </w:tc>
        <w:tc>
          <w:tcPr>
            <w:tcW w:w="109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vertAlign w:val="superscript"/>
              </w:rPr>
            </w:pPr>
            <w:r>
              <w:rPr>
                <w:rFonts w:ascii="Times New Roman" w:hAnsi="Times New Roman" w:eastAsia="Times New Roman" w:cs="Times New Roman"/>
              </w:rPr>
              <w:t>-2.51 * 10</w:t>
            </w:r>
            <w:r>
              <w:rPr>
                <w:rFonts w:ascii="Times New Roman" w:hAnsi="Times New Roman" w:eastAsia="Times New Roman" w:cs="Times New Roman"/>
                <w:vertAlign w:val="superscript"/>
              </w:rPr>
              <w:t>2</w:t>
            </w:r>
          </w:p>
        </w:tc>
        <w:tc>
          <w:tcPr>
            <w:tcW w:w="1357"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vertAlign w:val="superscript"/>
              </w:rPr>
            </w:pPr>
            <w:r>
              <w:rPr>
                <w:rFonts w:ascii="Times New Roman" w:hAnsi="Times New Roman" w:eastAsia="Times New Roman" w:cs="Times New Roman"/>
              </w:rPr>
              <w:t>-8.48 *10</w:t>
            </w:r>
            <w:r>
              <w:rPr>
                <w:rFonts w:ascii="Times New Roman" w:hAnsi="Times New Roman" w:eastAsia="Times New Roman" w:cs="Times New Roman"/>
                <w:vertAlign w:val="superscript"/>
              </w:rPr>
              <w:t>6</w:t>
            </w:r>
          </w:p>
        </w:tc>
        <w:tc>
          <w:tcPr>
            <w:tcW w:w="1357"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vertAlign w:val="superscript"/>
              </w:rPr>
            </w:pPr>
            <w:r>
              <w:rPr>
                <w:rFonts w:ascii="Times New Roman" w:hAnsi="Times New Roman" w:eastAsia="Times New Roman" w:cs="Times New Roman"/>
              </w:rPr>
              <w:t>-1.65 * 10</w:t>
            </w:r>
            <w:r>
              <w:rPr>
                <w:rFonts w:ascii="Times New Roman" w:hAnsi="Times New Roman" w:eastAsia="Times New Roman" w:cs="Times New Roman"/>
                <w:vertAlign w:val="superscript"/>
              </w:rPr>
              <w:t>3</w:t>
            </w:r>
          </w:p>
        </w:tc>
        <w:tc>
          <w:tcPr>
            <w:tcW w:w="1357"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vertAlign w:val="superscript"/>
              </w:rPr>
            </w:pPr>
            <w:r>
              <w:rPr>
                <w:rFonts w:ascii="Times New Roman" w:hAnsi="Times New Roman" w:eastAsia="Times New Roman" w:cs="Times New Roman"/>
              </w:rPr>
              <w:t>-1.34 * 10</w:t>
            </w:r>
            <w:r>
              <w:rPr>
                <w:rFonts w:ascii="Times New Roman" w:hAnsi="Times New Roman" w:eastAsia="Times New Roman" w:cs="Times New Roman"/>
                <w:vertAlign w:val="superscript"/>
              </w:rPr>
              <w:t>5</w:t>
            </w:r>
          </w:p>
        </w:tc>
        <w:tc>
          <w:tcPr>
            <w:tcW w:w="1357"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vertAlign w:val="superscript"/>
              </w:rPr>
            </w:pPr>
            <w:r>
              <w:rPr>
                <w:rFonts w:ascii="Times New Roman" w:hAnsi="Times New Roman" w:eastAsia="Times New Roman" w:cs="Times New Roman"/>
              </w:rPr>
              <w:t>-1.62 * 10</w:t>
            </w:r>
            <w:r>
              <w:rPr>
                <w:rFonts w:ascii="Times New Roman" w:hAnsi="Times New Roman" w:eastAsia="Times New Roman" w:cs="Times New Roman"/>
                <w:vertAlign w:val="superscript"/>
              </w:rPr>
              <w:t>6</w:t>
            </w:r>
          </w:p>
        </w:tc>
        <w:tc>
          <w:tcPr>
            <w:tcW w:w="1358"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vertAlign w:val="superscript"/>
              </w:rPr>
            </w:pPr>
            <w:r>
              <w:rPr>
                <w:rFonts w:ascii="Times New Roman" w:hAnsi="Times New Roman" w:eastAsia="Times New Roman" w:cs="Times New Roman"/>
              </w:rPr>
              <w:t>-5.28 * 10</w:t>
            </w:r>
            <w:r>
              <w:rPr>
                <w:rFonts w:ascii="Times New Roman" w:hAnsi="Times New Roman" w:eastAsia="Times New Roman" w:cs="Times New Roman"/>
                <w:vertAlign w:val="superscript"/>
              </w:rPr>
              <w:t>4</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280" w:hRule="atLeast"/>
        </w:trPr>
        <w:tc>
          <w:tcPr>
            <w:tcW w:w="153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Control-FREEC</w:t>
            </w:r>
          </w:p>
        </w:tc>
        <w:tc>
          <w:tcPr>
            <w:tcW w:w="109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4.83</w:t>
            </w:r>
          </w:p>
        </w:tc>
        <w:tc>
          <w:tcPr>
            <w:tcW w:w="1357"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1.78</w:t>
            </w:r>
          </w:p>
        </w:tc>
        <w:tc>
          <w:tcPr>
            <w:tcW w:w="1357"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-6.74</w:t>
            </w:r>
          </w:p>
        </w:tc>
        <w:tc>
          <w:tcPr>
            <w:tcW w:w="1357"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-10.84</w:t>
            </w:r>
          </w:p>
        </w:tc>
        <w:tc>
          <w:tcPr>
            <w:tcW w:w="1357"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-11.69</w:t>
            </w:r>
          </w:p>
        </w:tc>
        <w:tc>
          <w:tcPr>
            <w:tcW w:w="1358"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-16.11</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280" w:hRule="atLeast"/>
        </w:trPr>
        <w:tc>
          <w:tcPr>
            <w:tcW w:w="153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MetaCNV</w:t>
            </w:r>
          </w:p>
        </w:tc>
        <w:tc>
          <w:tcPr>
            <w:tcW w:w="109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5.55</w:t>
            </w:r>
          </w:p>
        </w:tc>
        <w:tc>
          <w:tcPr>
            <w:tcW w:w="1357"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5.39</w:t>
            </w:r>
          </w:p>
        </w:tc>
        <w:tc>
          <w:tcPr>
            <w:tcW w:w="1357"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5.65</w:t>
            </w:r>
          </w:p>
        </w:tc>
        <w:tc>
          <w:tcPr>
            <w:tcW w:w="1357"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5.8</w:t>
            </w:r>
          </w:p>
        </w:tc>
        <w:tc>
          <w:tcPr>
            <w:tcW w:w="1357"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5.88</w:t>
            </w:r>
          </w:p>
        </w:tc>
        <w:tc>
          <w:tcPr>
            <w:tcW w:w="1358"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5.71</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280" w:hRule="atLeast"/>
        </w:trPr>
        <w:tc>
          <w:tcPr>
            <w:tcW w:w="153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ReadDepth</w:t>
            </w:r>
          </w:p>
        </w:tc>
        <w:tc>
          <w:tcPr>
            <w:tcW w:w="109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0.55</w:t>
            </w:r>
          </w:p>
        </w:tc>
        <w:tc>
          <w:tcPr>
            <w:tcW w:w="1357"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-1.59</w:t>
            </w:r>
          </w:p>
        </w:tc>
        <w:tc>
          <w:tcPr>
            <w:tcW w:w="1357"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-1.81</w:t>
            </w:r>
          </w:p>
        </w:tc>
        <w:tc>
          <w:tcPr>
            <w:tcW w:w="1357"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2.21</w:t>
            </w:r>
          </w:p>
        </w:tc>
        <w:tc>
          <w:tcPr>
            <w:tcW w:w="1357"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0.86</w:t>
            </w:r>
          </w:p>
        </w:tc>
        <w:tc>
          <w:tcPr>
            <w:tcW w:w="1358"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0.71</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280" w:hRule="atLeast"/>
        </w:trPr>
        <w:tc>
          <w:tcPr>
            <w:tcW w:w="153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SVDetect simNormal</w:t>
            </w:r>
          </w:p>
        </w:tc>
        <w:tc>
          <w:tcPr>
            <w:tcW w:w="109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-7.68</w:t>
            </w:r>
          </w:p>
        </w:tc>
        <w:tc>
          <w:tcPr>
            <w:tcW w:w="1357"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-14.55</w:t>
            </w:r>
          </w:p>
        </w:tc>
        <w:tc>
          <w:tcPr>
            <w:tcW w:w="1357"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-22.95</w:t>
            </w:r>
          </w:p>
        </w:tc>
        <w:tc>
          <w:tcPr>
            <w:tcW w:w="1357"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-26.46</w:t>
            </w:r>
          </w:p>
        </w:tc>
        <w:tc>
          <w:tcPr>
            <w:tcW w:w="1357"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-31.07</w:t>
            </w:r>
          </w:p>
        </w:tc>
        <w:tc>
          <w:tcPr>
            <w:tcW w:w="1358"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-35.58</w:t>
            </w:r>
          </w:p>
        </w:tc>
      </w:tr>
    </w:tbl>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color w:val="333333"/>
        </w:rPr>
      </w:pP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b w:val="0"/>
          <w:bCs/>
          <w:color w:val="333333"/>
        </w:rPr>
      </w:pPr>
      <w:r>
        <w:rPr>
          <w:rFonts w:ascii="Times New Roman" w:hAnsi="Times New Roman" w:eastAsia="Times New Roman" w:cs="Times New Roman"/>
          <w:b/>
          <w:color w:val="333333"/>
        </w:rPr>
        <w:t xml:space="preserve">Table </w:t>
      </w:r>
      <w:r>
        <w:rPr>
          <w:rFonts w:ascii="Times New Roman" w:hAnsi="Times New Roman" w:eastAsia="Times New Roman" w:cs="Times New Roman"/>
          <w:b/>
        </w:rPr>
        <w:t>S5.</w:t>
      </w:r>
      <w:r>
        <w:rPr>
          <w:rFonts w:ascii="Times New Roman" w:hAnsi="Times New Roman" w:eastAsia="Times New Roman" w:cs="Times New Roman"/>
          <w:b w:val="0"/>
          <w:bCs/>
        </w:rPr>
        <w:t xml:space="preserve"> Variance (random error) per ca</w:t>
      </w:r>
      <w:r>
        <w:rPr>
          <w:rFonts w:ascii="Times New Roman" w:hAnsi="Times New Roman" w:eastAsia="Times New Roman" w:cs="Times New Roman"/>
          <w:b w:val="0"/>
          <w:bCs/>
          <w:color w:val="333333"/>
        </w:rPr>
        <w:t>ller for single sequenced cell line SKBR3</w:t>
      </w:r>
    </w:p>
    <w:tbl>
      <w:tblPr>
        <w:tblStyle w:val="17"/>
        <w:tblW w:w="9454" w:type="dxa"/>
        <w:tblInd w:w="25" w:type="dxa"/>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
      <w:tblGrid>
        <w:gridCol w:w="1529"/>
        <w:gridCol w:w="1125"/>
        <w:gridCol w:w="1360"/>
        <w:gridCol w:w="1360"/>
        <w:gridCol w:w="1359"/>
        <w:gridCol w:w="1360"/>
        <w:gridCol w:w="1361"/>
      </w:tblGrid>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c>
          <w:tcPr>
            <w:tcW w:w="1529"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Method</w:t>
            </w:r>
          </w:p>
        </w:tc>
        <w:tc>
          <w:tcPr>
            <w:tcW w:w="112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1 cell</w:t>
            </w:r>
          </w:p>
        </w:tc>
        <w:tc>
          <w:tcPr>
            <w:tcW w:w="136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2 cells</w:t>
            </w:r>
          </w:p>
        </w:tc>
        <w:tc>
          <w:tcPr>
            <w:tcW w:w="136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3 cells</w:t>
            </w:r>
          </w:p>
        </w:tc>
        <w:tc>
          <w:tcPr>
            <w:tcW w:w="1359"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4 cells</w:t>
            </w:r>
          </w:p>
        </w:tc>
        <w:tc>
          <w:tcPr>
            <w:tcW w:w="136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5 cells</w:t>
            </w:r>
          </w:p>
        </w:tc>
        <w:tc>
          <w:tcPr>
            <w:tcW w:w="1361"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6 cells</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280" w:hRule="atLeast"/>
        </w:trPr>
        <w:tc>
          <w:tcPr>
            <w:tcW w:w="1529"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CNVnator</w:t>
            </w:r>
          </w:p>
        </w:tc>
        <w:tc>
          <w:tcPr>
            <w:tcW w:w="112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vertAlign w:val="superscript"/>
              </w:rPr>
            </w:pPr>
            <w:r>
              <w:rPr>
                <w:rFonts w:ascii="Times New Roman" w:hAnsi="Times New Roman" w:eastAsia="Times New Roman" w:cs="Times New Roman"/>
              </w:rPr>
              <w:t>85.15 * 10</w:t>
            </w:r>
            <w:r>
              <w:rPr>
                <w:rFonts w:ascii="Times New Roman" w:hAnsi="Times New Roman" w:eastAsia="Times New Roman" w:cs="Times New Roman"/>
                <w:vertAlign w:val="superscript"/>
              </w:rPr>
              <w:t>3</w:t>
            </w:r>
          </w:p>
        </w:tc>
        <w:tc>
          <w:tcPr>
            <w:tcW w:w="136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vertAlign w:val="superscript"/>
              </w:rPr>
            </w:pPr>
            <w:r>
              <w:rPr>
                <w:rFonts w:ascii="Times New Roman" w:hAnsi="Times New Roman" w:eastAsia="Times New Roman" w:cs="Times New Roman"/>
              </w:rPr>
              <w:t>63.38 * 10</w:t>
            </w:r>
            <w:r>
              <w:rPr>
                <w:rFonts w:ascii="Times New Roman" w:hAnsi="Times New Roman" w:eastAsia="Times New Roman" w:cs="Times New Roman"/>
                <w:vertAlign w:val="superscript"/>
              </w:rPr>
              <w:t>12</w:t>
            </w:r>
          </w:p>
        </w:tc>
        <w:tc>
          <w:tcPr>
            <w:tcW w:w="136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vertAlign w:val="superscript"/>
              </w:rPr>
            </w:pPr>
            <w:r>
              <w:rPr>
                <w:rFonts w:ascii="Times New Roman" w:hAnsi="Times New Roman" w:eastAsia="Times New Roman" w:cs="Times New Roman"/>
              </w:rPr>
              <w:t>2.48 * 10</w:t>
            </w:r>
            <w:r>
              <w:rPr>
                <w:rFonts w:ascii="Times New Roman" w:hAnsi="Times New Roman" w:eastAsia="Times New Roman" w:cs="Times New Roman"/>
                <w:vertAlign w:val="superscript"/>
              </w:rPr>
              <w:t>6</w:t>
            </w:r>
          </w:p>
        </w:tc>
        <w:tc>
          <w:tcPr>
            <w:tcW w:w="1359"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vertAlign w:val="superscript"/>
              </w:rPr>
            </w:pPr>
            <w:r>
              <w:rPr>
                <w:rFonts w:ascii="Times New Roman" w:hAnsi="Times New Roman" w:eastAsia="Times New Roman" w:cs="Times New Roman"/>
              </w:rPr>
              <w:t>13.95 * 10</w:t>
            </w:r>
            <w:r>
              <w:rPr>
                <w:rFonts w:ascii="Times New Roman" w:hAnsi="Times New Roman" w:eastAsia="Times New Roman" w:cs="Times New Roman"/>
                <w:vertAlign w:val="superscript"/>
              </w:rPr>
              <w:t>9</w:t>
            </w:r>
          </w:p>
        </w:tc>
        <w:tc>
          <w:tcPr>
            <w:tcW w:w="136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vertAlign w:val="superscript"/>
              </w:rPr>
            </w:pPr>
            <w:r>
              <w:rPr>
                <w:rFonts w:ascii="Times New Roman" w:hAnsi="Times New Roman" w:eastAsia="Times New Roman" w:cs="Times New Roman"/>
              </w:rPr>
              <w:t>1.91 * 10</w:t>
            </w:r>
            <w:r>
              <w:rPr>
                <w:rFonts w:ascii="Times New Roman" w:hAnsi="Times New Roman" w:eastAsia="Times New Roman" w:cs="Times New Roman"/>
                <w:vertAlign w:val="superscript"/>
              </w:rPr>
              <w:t>12</w:t>
            </w:r>
          </w:p>
        </w:tc>
        <w:tc>
          <w:tcPr>
            <w:tcW w:w="1361"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vertAlign w:val="superscript"/>
              </w:rPr>
            </w:pPr>
            <w:r>
              <w:rPr>
                <w:rFonts w:ascii="Times New Roman" w:hAnsi="Times New Roman" w:eastAsia="Times New Roman" w:cs="Times New Roman"/>
              </w:rPr>
              <w:t>2.07 * 10</w:t>
            </w:r>
            <w:r>
              <w:rPr>
                <w:rFonts w:ascii="Times New Roman" w:hAnsi="Times New Roman" w:eastAsia="Times New Roman" w:cs="Times New Roman"/>
                <w:vertAlign w:val="superscript"/>
              </w:rPr>
              <w:t>9</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280" w:hRule="atLeast"/>
        </w:trPr>
        <w:tc>
          <w:tcPr>
            <w:tcW w:w="1529"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Control-FREEC</w:t>
            </w:r>
          </w:p>
        </w:tc>
        <w:tc>
          <w:tcPr>
            <w:tcW w:w="112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124.69</w:t>
            </w:r>
          </w:p>
        </w:tc>
        <w:tc>
          <w:tcPr>
            <w:tcW w:w="136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273.64</w:t>
            </w:r>
          </w:p>
        </w:tc>
        <w:tc>
          <w:tcPr>
            <w:tcW w:w="136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853.82</w:t>
            </w:r>
          </w:p>
        </w:tc>
        <w:tc>
          <w:tcPr>
            <w:tcW w:w="1359"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1373.02</w:t>
            </w:r>
          </w:p>
        </w:tc>
        <w:tc>
          <w:tcPr>
            <w:tcW w:w="136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1108.8</w:t>
            </w:r>
          </w:p>
        </w:tc>
        <w:tc>
          <w:tcPr>
            <w:tcW w:w="1361"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1579.19</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280" w:hRule="atLeast"/>
        </w:trPr>
        <w:tc>
          <w:tcPr>
            <w:tcW w:w="1529"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MetaCNV</w:t>
            </w:r>
          </w:p>
        </w:tc>
        <w:tc>
          <w:tcPr>
            <w:tcW w:w="112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14.09</w:t>
            </w:r>
          </w:p>
        </w:tc>
        <w:tc>
          <w:tcPr>
            <w:tcW w:w="136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19.59</w:t>
            </w:r>
          </w:p>
        </w:tc>
        <w:tc>
          <w:tcPr>
            <w:tcW w:w="136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10.11</w:t>
            </w:r>
          </w:p>
        </w:tc>
        <w:tc>
          <w:tcPr>
            <w:tcW w:w="1359"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6.63</w:t>
            </w:r>
          </w:p>
        </w:tc>
        <w:tc>
          <w:tcPr>
            <w:tcW w:w="136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6.4</w:t>
            </w:r>
          </w:p>
        </w:tc>
        <w:tc>
          <w:tcPr>
            <w:tcW w:w="1361"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7.49</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280" w:hRule="atLeast"/>
        </w:trPr>
        <w:tc>
          <w:tcPr>
            <w:tcW w:w="1529"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ReadDepth</w:t>
            </w:r>
          </w:p>
        </w:tc>
        <w:tc>
          <w:tcPr>
            <w:tcW w:w="112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182.56</w:t>
            </w:r>
          </w:p>
        </w:tc>
        <w:tc>
          <w:tcPr>
            <w:tcW w:w="136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349.03</w:t>
            </w:r>
          </w:p>
        </w:tc>
        <w:tc>
          <w:tcPr>
            <w:tcW w:w="136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338.83</w:t>
            </w:r>
          </w:p>
        </w:tc>
        <w:tc>
          <w:tcPr>
            <w:tcW w:w="1359"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97.41</w:t>
            </w:r>
          </w:p>
        </w:tc>
        <w:tc>
          <w:tcPr>
            <w:tcW w:w="136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204.87</w:t>
            </w:r>
          </w:p>
        </w:tc>
        <w:tc>
          <w:tcPr>
            <w:tcW w:w="1361"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225.8</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280" w:hRule="atLeast"/>
        </w:trPr>
        <w:tc>
          <w:tcPr>
            <w:tcW w:w="1529"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SVDetect simNormal</w:t>
            </w:r>
          </w:p>
        </w:tc>
        <w:tc>
          <w:tcPr>
            <w:tcW w:w="112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565.51</w:t>
            </w:r>
          </w:p>
        </w:tc>
        <w:tc>
          <w:tcPr>
            <w:tcW w:w="136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1121.12</w:t>
            </w:r>
          </w:p>
        </w:tc>
        <w:tc>
          <w:tcPr>
            <w:tcW w:w="136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1976.47</w:t>
            </w:r>
          </w:p>
        </w:tc>
        <w:tc>
          <w:tcPr>
            <w:tcW w:w="1359"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2416.75</w:t>
            </w:r>
          </w:p>
        </w:tc>
        <w:tc>
          <w:tcPr>
            <w:tcW w:w="136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3091.69</w:t>
            </w:r>
          </w:p>
        </w:tc>
        <w:tc>
          <w:tcPr>
            <w:tcW w:w="1361"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3632.89</w:t>
            </w:r>
          </w:p>
        </w:tc>
      </w:tr>
    </w:tbl>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color w:val="333333"/>
        </w:rPr>
      </w:pP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b w:val="0"/>
          <w:bCs/>
        </w:rPr>
      </w:pPr>
      <w:r>
        <w:rPr>
          <w:rFonts w:ascii="Times New Roman" w:hAnsi="Times New Roman" w:eastAsia="Times New Roman" w:cs="Times New Roman"/>
          <w:b/>
        </w:rPr>
        <w:t>Table S6.</w:t>
      </w:r>
      <w:r>
        <w:rPr>
          <w:rFonts w:ascii="Times New Roman" w:hAnsi="Times New Roman" w:eastAsia="Times New Roman" w:cs="Times New Roman"/>
          <w:b w:val="0"/>
          <w:bCs/>
        </w:rPr>
        <w:t xml:space="preserve"> Variance of the residuals per caller for single sequenced cell line SKBR3</w:t>
      </w:r>
    </w:p>
    <w:tbl>
      <w:tblPr>
        <w:tblStyle w:val="17"/>
        <w:tblW w:w="9464" w:type="dxa"/>
        <w:tblInd w:w="86" w:type="dxa"/>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
      <w:tblGrid>
        <w:gridCol w:w="1559"/>
        <w:gridCol w:w="1080"/>
        <w:gridCol w:w="1365"/>
        <w:gridCol w:w="1365"/>
        <w:gridCol w:w="1365"/>
        <w:gridCol w:w="1365"/>
        <w:gridCol w:w="1365"/>
      </w:tblGrid>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00" w:hRule="atLeast"/>
        </w:trPr>
        <w:tc>
          <w:tcPr>
            <w:tcW w:w="1559"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Method</w:t>
            </w:r>
          </w:p>
        </w:tc>
        <w:tc>
          <w:tcPr>
            <w:tcW w:w="10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1 cell</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2 cells</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3 cells</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4 cells</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5 cells</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6 cells</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00" w:hRule="atLeast"/>
        </w:trPr>
        <w:tc>
          <w:tcPr>
            <w:tcW w:w="1559"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CNVnator</w:t>
            </w:r>
          </w:p>
        </w:tc>
        <w:tc>
          <w:tcPr>
            <w:tcW w:w="10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vertAlign w:val="superscript"/>
              </w:rPr>
            </w:pPr>
            <w:r>
              <w:rPr>
                <w:rFonts w:ascii="Times New Roman" w:hAnsi="Times New Roman" w:eastAsia="Times New Roman" w:cs="Times New Roman"/>
              </w:rPr>
              <w:t>3.49 * 10</w:t>
            </w:r>
            <w:r>
              <w:rPr>
                <w:rFonts w:ascii="Times New Roman" w:hAnsi="Times New Roman" w:eastAsia="Times New Roman" w:cs="Times New Roman"/>
                <w:vertAlign w:val="superscript"/>
              </w:rPr>
              <w:t>4</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vertAlign w:val="superscript"/>
              </w:rPr>
            </w:pPr>
            <w:r>
              <w:rPr>
                <w:rFonts w:ascii="Times New Roman" w:hAnsi="Times New Roman" w:eastAsia="Times New Roman" w:cs="Times New Roman"/>
              </w:rPr>
              <w:t>2.66 * 10</w:t>
            </w:r>
            <w:r>
              <w:rPr>
                <w:rFonts w:ascii="Times New Roman" w:hAnsi="Times New Roman" w:eastAsia="Times New Roman" w:cs="Times New Roman"/>
                <w:vertAlign w:val="superscript"/>
              </w:rPr>
              <w:t>13</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vertAlign w:val="superscript"/>
              </w:rPr>
            </w:pPr>
            <w:r>
              <w:rPr>
                <w:rFonts w:ascii="Times New Roman" w:hAnsi="Times New Roman" w:eastAsia="Times New Roman" w:cs="Times New Roman"/>
              </w:rPr>
              <w:t>1.02 * 10</w:t>
            </w:r>
            <w:r>
              <w:rPr>
                <w:rFonts w:ascii="Times New Roman" w:hAnsi="Times New Roman" w:eastAsia="Times New Roman" w:cs="Times New Roman"/>
                <w:vertAlign w:val="superscript"/>
              </w:rPr>
              <w:t>6</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vertAlign w:val="superscript"/>
              </w:rPr>
            </w:pPr>
            <w:r>
              <w:rPr>
                <w:rFonts w:ascii="Times New Roman" w:hAnsi="Times New Roman" w:eastAsia="Times New Roman" w:cs="Times New Roman"/>
              </w:rPr>
              <w:t>7.86 * 10</w:t>
            </w:r>
            <w:r>
              <w:rPr>
                <w:rFonts w:ascii="Times New Roman" w:hAnsi="Times New Roman" w:eastAsia="Times New Roman" w:cs="Times New Roman"/>
                <w:vertAlign w:val="superscript"/>
              </w:rPr>
              <w:t>9</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vertAlign w:val="superscript"/>
              </w:rPr>
            </w:pPr>
            <w:r>
              <w:rPr>
                <w:rFonts w:ascii="Times New Roman" w:hAnsi="Times New Roman" w:eastAsia="Times New Roman" w:cs="Times New Roman"/>
              </w:rPr>
              <w:t>7.05 * 10</w:t>
            </w:r>
            <w:r>
              <w:rPr>
                <w:rFonts w:ascii="Times New Roman" w:hAnsi="Times New Roman" w:eastAsia="Times New Roman" w:cs="Times New Roman"/>
                <w:vertAlign w:val="superscript"/>
              </w:rPr>
              <w:t>11</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vertAlign w:val="superscript"/>
              </w:rPr>
            </w:pPr>
            <w:r>
              <w:rPr>
                <w:rFonts w:ascii="Times New Roman" w:hAnsi="Times New Roman" w:eastAsia="Times New Roman" w:cs="Times New Roman"/>
              </w:rPr>
              <w:t>7.09 * 10</w:t>
            </w:r>
            <w:r>
              <w:rPr>
                <w:rFonts w:ascii="Times New Roman" w:hAnsi="Times New Roman" w:eastAsia="Times New Roman" w:cs="Times New Roman"/>
                <w:vertAlign w:val="superscript"/>
              </w:rPr>
              <w:t>8</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00" w:hRule="atLeast"/>
        </w:trPr>
        <w:tc>
          <w:tcPr>
            <w:tcW w:w="1559"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Control-FREEC</w:t>
            </w:r>
          </w:p>
        </w:tc>
        <w:tc>
          <w:tcPr>
            <w:tcW w:w="10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60.73</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136.41</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452.55</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847.18</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966.47</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1407.13</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00" w:hRule="atLeast"/>
        </w:trPr>
        <w:tc>
          <w:tcPr>
            <w:tcW w:w="1559"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MetaCNV</w:t>
            </w:r>
          </w:p>
        </w:tc>
        <w:tc>
          <w:tcPr>
            <w:tcW w:w="10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6.37</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8.35</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3.65</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2.89</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2.58</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3.34</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00" w:hRule="atLeast"/>
        </w:trPr>
        <w:tc>
          <w:tcPr>
            <w:tcW w:w="1559"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ReadDepth</w:t>
            </w:r>
          </w:p>
        </w:tc>
        <w:tc>
          <w:tcPr>
            <w:tcW w:w="10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61.63</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117.07</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124.58</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33.88</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62.36</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70.33</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00" w:hRule="atLeast"/>
        </w:trPr>
        <w:tc>
          <w:tcPr>
            <w:tcW w:w="1559"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SVDetect simNormal</w:t>
            </w:r>
          </w:p>
        </w:tc>
        <w:tc>
          <w:tcPr>
            <w:tcW w:w="10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313.51</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682.23</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1308.59</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1616.51</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2125.14</w:t>
            </w:r>
          </w:p>
        </w:tc>
        <w:tc>
          <w:tcPr>
            <w:tcW w:w="136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2508.49</w:t>
            </w:r>
          </w:p>
        </w:tc>
      </w:tr>
    </w:tbl>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b w:val="0"/>
          <w:bCs/>
        </w:rPr>
      </w:pPr>
      <w:r>
        <w:rPr>
          <w:rFonts w:ascii="Times New Roman" w:hAnsi="Times New Roman" w:eastAsia="Times New Roman" w:cs="Times New Roman"/>
          <w:b/>
        </w:rPr>
        <w:t>Table S7.</w:t>
      </w:r>
      <w:r>
        <w:rPr>
          <w:rFonts w:ascii="Times New Roman" w:hAnsi="Times New Roman" w:eastAsia="Times New Roman" w:cs="Times New Roman"/>
          <w:b w:val="0"/>
          <w:bCs/>
        </w:rPr>
        <w:t xml:space="preserve"> Bias (systematic error) per caller for high coverage data</w:t>
      </w:r>
    </w:p>
    <w:tbl>
      <w:tblPr>
        <w:tblStyle w:val="17"/>
        <w:tblW w:w="9356" w:type="dxa"/>
        <w:tblInd w:w="37" w:type="dxa"/>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
      <w:tblGrid>
        <w:gridCol w:w="2805"/>
        <w:gridCol w:w="1455"/>
        <w:gridCol w:w="1698"/>
        <w:gridCol w:w="1698"/>
        <w:gridCol w:w="1700"/>
      </w:tblGrid>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c>
          <w:tcPr>
            <w:tcW w:w="280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Method</w:t>
            </w:r>
          </w:p>
        </w:tc>
        <w:tc>
          <w:tcPr>
            <w:tcW w:w="145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HCC1187</w:t>
            </w:r>
          </w:p>
        </w:tc>
        <w:tc>
          <w:tcPr>
            <w:tcW w:w="1698"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HCC2218</w:t>
            </w:r>
          </w:p>
        </w:tc>
        <w:tc>
          <w:tcPr>
            <w:tcW w:w="1698"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MCF7</w:t>
            </w:r>
          </w:p>
        </w:tc>
        <w:tc>
          <w:tcPr>
            <w:tcW w:w="170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PC3</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60" w:hRule="atLeast"/>
        </w:trPr>
        <w:tc>
          <w:tcPr>
            <w:tcW w:w="280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center"/>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CNVnator</w:t>
            </w:r>
          </w:p>
        </w:tc>
        <w:tc>
          <w:tcPr>
            <w:tcW w:w="145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1.60</w:t>
            </w:r>
          </w:p>
        </w:tc>
        <w:tc>
          <w:tcPr>
            <w:tcW w:w="1698"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0.19</w:t>
            </w:r>
          </w:p>
        </w:tc>
        <w:tc>
          <w:tcPr>
            <w:tcW w:w="1698"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-0.26</w:t>
            </w:r>
          </w:p>
        </w:tc>
        <w:tc>
          <w:tcPr>
            <w:tcW w:w="170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2.28</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60" w:hRule="atLeast"/>
        </w:trPr>
        <w:tc>
          <w:tcPr>
            <w:tcW w:w="280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center"/>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CopyCat</w:t>
            </w:r>
          </w:p>
        </w:tc>
        <w:tc>
          <w:tcPr>
            <w:tcW w:w="145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0.81</w:t>
            </w:r>
          </w:p>
        </w:tc>
        <w:tc>
          <w:tcPr>
            <w:tcW w:w="1698"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-0.21</w:t>
            </w:r>
          </w:p>
        </w:tc>
        <w:tc>
          <w:tcPr>
            <w:tcW w:w="1698"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-8.12</w:t>
            </w:r>
          </w:p>
        </w:tc>
        <w:tc>
          <w:tcPr>
            <w:tcW w:w="170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NA</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60" w:hRule="atLeast"/>
        </w:trPr>
        <w:tc>
          <w:tcPr>
            <w:tcW w:w="280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center"/>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Control-FREEC</w:t>
            </w:r>
          </w:p>
        </w:tc>
        <w:tc>
          <w:tcPr>
            <w:tcW w:w="145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-0.13</w:t>
            </w:r>
          </w:p>
        </w:tc>
        <w:tc>
          <w:tcPr>
            <w:tcW w:w="1698"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-1.19</w:t>
            </w:r>
          </w:p>
        </w:tc>
        <w:tc>
          <w:tcPr>
            <w:tcW w:w="1698"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-1.42</w:t>
            </w:r>
          </w:p>
        </w:tc>
        <w:tc>
          <w:tcPr>
            <w:tcW w:w="170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0.97</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60" w:hRule="atLeast"/>
        </w:trPr>
        <w:tc>
          <w:tcPr>
            <w:tcW w:w="280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center"/>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MetaCNV</w:t>
            </w:r>
          </w:p>
        </w:tc>
        <w:tc>
          <w:tcPr>
            <w:tcW w:w="145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-2.82</w:t>
            </w:r>
          </w:p>
        </w:tc>
        <w:tc>
          <w:tcPr>
            <w:tcW w:w="1698"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1.27</w:t>
            </w:r>
          </w:p>
        </w:tc>
        <w:tc>
          <w:tcPr>
            <w:tcW w:w="1698"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1.35</w:t>
            </w:r>
          </w:p>
        </w:tc>
        <w:tc>
          <w:tcPr>
            <w:tcW w:w="170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1.33</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60" w:hRule="atLeast"/>
        </w:trPr>
        <w:tc>
          <w:tcPr>
            <w:tcW w:w="280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center"/>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ReadDepth</w:t>
            </w:r>
          </w:p>
        </w:tc>
        <w:tc>
          <w:tcPr>
            <w:tcW w:w="145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1.47</w:t>
            </w:r>
          </w:p>
        </w:tc>
        <w:tc>
          <w:tcPr>
            <w:tcW w:w="1698"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0.82</w:t>
            </w:r>
          </w:p>
        </w:tc>
        <w:tc>
          <w:tcPr>
            <w:tcW w:w="1698"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-7.55</w:t>
            </w:r>
          </w:p>
        </w:tc>
        <w:tc>
          <w:tcPr>
            <w:tcW w:w="170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2.57</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60" w:hRule="atLeast"/>
        </w:trPr>
        <w:tc>
          <w:tcPr>
            <w:tcW w:w="280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SVDetect matched NORMAL</w:t>
            </w:r>
          </w:p>
        </w:tc>
        <w:tc>
          <w:tcPr>
            <w:tcW w:w="145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1.56</w:t>
            </w:r>
          </w:p>
        </w:tc>
        <w:tc>
          <w:tcPr>
            <w:tcW w:w="1698"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4.51</w:t>
            </w:r>
          </w:p>
        </w:tc>
        <w:tc>
          <w:tcPr>
            <w:tcW w:w="1698"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p>
        </w:tc>
        <w:tc>
          <w:tcPr>
            <w:tcW w:w="170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60" w:hRule="atLeast"/>
        </w:trPr>
        <w:tc>
          <w:tcPr>
            <w:tcW w:w="280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SVDetect simNORMAL</w:t>
            </w:r>
          </w:p>
        </w:tc>
        <w:tc>
          <w:tcPr>
            <w:tcW w:w="145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1.43</w:t>
            </w:r>
          </w:p>
        </w:tc>
        <w:tc>
          <w:tcPr>
            <w:tcW w:w="1698"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4.64</w:t>
            </w:r>
          </w:p>
        </w:tc>
        <w:tc>
          <w:tcPr>
            <w:tcW w:w="1698"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0.91</w:t>
            </w:r>
          </w:p>
        </w:tc>
        <w:tc>
          <w:tcPr>
            <w:tcW w:w="170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2.63</w:t>
            </w:r>
          </w:p>
        </w:tc>
      </w:tr>
    </w:tbl>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b w:val="0"/>
          <w:bCs/>
        </w:rPr>
      </w:pPr>
      <w:r>
        <w:rPr>
          <w:rFonts w:ascii="Times New Roman" w:hAnsi="Times New Roman" w:eastAsia="Times New Roman" w:cs="Times New Roman"/>
          <w:b/>
        </w:rPr>
        <w:t xml:space="preserve">Table S8. </w:t>
      </w:r>
      <w:r>
        <w:rPr>
          <w:rFonts w:ascii="Times New Roman" w:hAnsi="Times New Roman" w:eastAsia="Times New Roman" w:cs="Times New Roman"/>
          <w:b w:val="0"/>
          <w:bCs/>
        </w:rPr>
        <w:t>Variance (random error) per caller for high coverage data</w:t>
      </w:r>
    </w:p>
    <w:tbl>
      <w:tblPr>
        <w:tblStyle w:val="17"/>
        <w:tblW w:w="9255" w:type="dxa"/>
        <w:tblInd w:w="37" w:type="dxa"/>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
      <w:tblGrid>
        <w:gridCol w:w="2790"/>
        <w:gridCol w:w="1425"/>
        <w:gridCol w:w="1680"/>
        <w:gridCol w:w="1680"/>
        <w:gridCol w:w="1680"/>
      </w:tblGrid>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c>
          <w:tcPr>
            <w:tcW w:w="279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Method</w:t>
            </w:r>
          </w:p>
        </w:tc>
        <w:tc>
          <w:tcPr>
            <w:tcW w:w="142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HCC1187</w:t>
            </w:r>
          </w:p>
        </w:tc>
        <w:tc>
          <w:tcPr>
            <w:tcW w:w="16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HCC2218</w:t>
            </w:r>
          </w:p>
        </w:tc>
        <w:tc>
          <w:tcPr>
            <w:tcW w:w="16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MCF7</w:t>
            </w:r>
          </w:p>
        </w:tc>
        <w:tc>
          <w:tcPr>
            <w:tcW w:w="16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PC3</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60" w:hRule="atLeast"/>
        </w:trPr>
        <w:tc>
          <w:tcPr>
            <w:tcW w:w="279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CNVnator</w:t>
            </w:r>
          </w:p>
        </w:tc>
        <w:tc>
          <w:tcPr>
            <w:tcW w:w="142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0.58</w:t>
            </w:r>
          </w:p>
        </w:tc>
        <w:tc>
          <w:tcPr>
            <w:tcW w:w="16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22.01</w:t>
            </w:r>
          </w:p>
        </w:tc>
        <w:tc>
          <w:tcPr>
            <w:tcW w:w="16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34.53</w:t>
            </w:r>
          </w:p>
        </w:tc>
        <w:tc>
          <w:tcPr>
            <w:tcW w:w="16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7.17</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60" w:hRule="atLeast"/>
        </w:trPr>
        <w:tc>
          <w:tcPr>
            <w:tcW w:w="279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CopyCat</w:t>
            </w:r>
          </w:p>
        </w:tc>
        <w:tc>
          <w:tcPr>
            <w:tcW w:w="142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2.93</w:t>
            </w:r>
          </w:p>
        </w:tc>
        <w:tc>
          <w:tcPr>
            <w:tcW w:w="16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46.09</w:t>
            </w:r>
          </w:p>
        </w:tc>
        <w:tc>
          <w:tcPr>
            <w:tcW w:w="16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180.33</w:t>
            </w:r>
          </w:p>
        </w:tc>
        <w:tc>
          <w:tcPr>
            <w:tcW w:w="16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NA</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60" w:hRule="atLeast"/>
        </w:trPr>
        <w:tc>
          <w:tcPr>
            <w:tcW w:w="279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Control-FREEC</w:t>
            </w:r>
          </w:p>
        </w:tc>
        <w:tc>
          <w:tcPr>
            <w:tcW w:w="142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3.78</w:t>
            </w:r>
          </w:p>
        </w:tc>
        <w:tc>
          <w:tcPr>
            <w:tcW w:w="16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51.80</w:t>
            </w:r>
          </w:p>
        </w:tc>
        <w:tc>
          <w:tcPr>
            <w:tcW w:w="16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64.77</w:t>
            </w:r>
          </w:p>
        </w:tc>
        <w:tc>
          <w:tcPr>
            <w:tcW w:w="16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16.09</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60" w:hRule="atLeast"/>
        </w:trPr>
        <w:tc>
          <w:tcPr>
            <w:tcW w:w="279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MetaCNV</w:t>
            </w:r>
          </w:p>
        </w:tc>
        <w:tc>
          <w:tcPr>
            <w:tcW w:w="142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6.05</w:t>
            </w:r>
          </w:p>
        </w:tc>
        <w:tc>
          <w:tcPr>
            <w:tcW w:w="16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5.36</w:t>
            </w:r>
          </w:p>
        </w:tc>
        <w:tc>
          <w:tcPr>
            <w:tcW w:w="16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14.47</w:t>
            </w:r>
          </w:p>
        </w:tc>
        <w:tc>
          <w:tcPr>
            <w:tcW w:w="16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13.25</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60" w:hRule="atLeast"/>
        </w:trPr>
        <w:tc>
          <w:tcPr>
            <w:tcW w:w="279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ReadDepth</w:t>
            </w:r>
          </w:p>
        </w:tc>
        <w:tc>
          <w:tcPr>
            <w:tcW w:w="142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1.52</w:t>
            </w:r>
          </w:p>
        </w:tc>
        <w:tc>
          <w:tcPr>
            <w:tcW w:w="16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41.10</w:t>
            </w:r>
          </w:p>
        </w:tc>
        <w:tc>
          <w:tcPr>
            <w:tcW w:w="16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136.36</w:t>
            </w:r>
          </w:p>
        </w:tc>
        <w:tc>
          <w:tcPr>
            <w:tcW w:w="16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6.53</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60" w:hRule="atLeast"/>
        </w:trPr>
        <w:tc>
          <w:tcPr>
            <w:tcW w:w="279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SVDetect matchedNORMAL</w:t>
            </w:r>
          </w:p>
        </w:tc>
        <w:tc>
          <w:tcPr>
            <w:tcW w:w="142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1.22</w:t>
            </w:r>
          </w:p>
        </w:tc>
        <w:tc>
          <w:tcPr>
            <w:tcW w:w="16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7.36</w:t>
            </w:r>
          </w:p>
        </w:tc>
        <w:tc>
          <w:tcPr>
            <w:tcW w:w="16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p>
        </w:tc>
        <w:tc>
          <w:tcPr>
            <w:tcW w:w="16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60" w:hRule="atLeast"/>
        </w:trPr>
        <w:tc>
          <w:tcPr>
            <w:tcW w:w="279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SVDetect simNORMAL</w:t>
            </w:r>
          </w:p>
        </w:tc>
        <w:tc>
          <w:tcPr>
            <w:tcW w:w="142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0.41</w:t>
            </w:r>
          </w:p>
        </w:tc>
        <w:tc>
          <w:tcPr>
            <w:tcW w:w="16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6.78</w:t>
            </w:r>
          </w:p>
        </w:tc>
        <w:tc>
          <w:tcPr>
            <w:tcW w:w="16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28.73</w:t>
            </w:r>
          </w:p>
        </w:tc>
        <w:tc>
          <w:tcPr>
            <w:tcW w:w="168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4.84</w:t>
            </w:r>
          </w:p>
        </w:tc>
      </w:tr>
    </w:tbl>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b/>
        </w:rPr>
      </w:pP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b w:val="0"/>
          <w:bCs/>
        </w:rPr>
      </w:pPr>
      <w:r>
        <w:rPr>
          <w:rFonts w:ascii="Times New Roman" w:hAnsi="Times New Roman" w:eastAsia="Times New Roman" w:cs="Times New Roman"/>
          <w:b/>
        </w:rPr>
        <w:t>Table S9.</w:t>
      </w:r>
      <w:r>
        <w:rPr>
          <w:rFonts w:ascii="Times New Roman" w:hAnsi="Times New Roman" w:eastAsia="Times New Roman" w:cs="Times New Roman"/>
          <w:b w:val="0"/>
          <w:bCs/>
        </w:rPr>
        <w:t xml:space="preserve"> Variance of the residuals per caller for high coverage data</w:t>
      </w:r>
    </w:p>
    <w:tbl>
      <w:tblPr>
        <w:tblStyle w:val="17"/>
        <w:tblW w:w="9255" w:type="dxa"/>
        <w:tblInd w:w="29" w:type="dxa"/>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
      <w:tblGrid>
        <w:gridCol w:w="2805"/>
        <w:gridCol w:w="1395"/>
        <w:gridCol w:w="1710"/>
        <w:gridCol w:w="1695"/>
        <w:gridCol w:w="1650"/>
      </w:tblGrid>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00" w:hRule="atLeast"/>
        </w:trPr>
        <w:tc>
          <w:tcPr>
            <w:tcW w:w="280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Method</w:t>
            </w:r>
          </w:p>
        </w:tc>
        <w:tc>
          <w:tcPr>
            <w:tcW w:w="139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HCC1187</w:t>
            </w:r>
          </w:p>
        </w:tc>
        <w:tc>
          <w:tcPr>
            <w:tcW w:w="171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HCC2218</w:t>
            </w:r>
          </w:p>
        </w:tc>
        <w:tc>
          <w:tcPr>
            <w:tcW w:w="169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MCF7</w:t>
            </w:r>
          </w:p>
        </w:tc>
        <w:tc>
          <w:tcPr>
            <w:tcW w:w="165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left w:w="32" w:type="dxa"/>
            </w:tcMar>
            <w:vAlign w:val="bottom"/>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PC3</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60" w:hRule="atLeast"/>
        </w:trPr>
        <w:tc>
          <w:tcPr>
            <w:tcW w:w="280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CNVnator</w:t>
            </w:r>
          </w:p>
        </w:tc>
        <w:tc>
          <w:tcPr>
            <w:tcW w:w="139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0.12</w:t>
            </w:r>
          </w:p>
        </w:tc>
        <w:tc>
          <w:tcPr>
            <w:tcW w:w="171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2.20</w:t>
            </w:r>
          </w:p>
        </w:tc>
        <w:tc>
          <w:tcPr>
            <w:tcW w:w="169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3.48</w:t>
            </w:r>
          </w:p>
        </w:tc>
        <w:tc>
          <w:tcPr>
            <w:tcW w:w="165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0.44</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60" w:hRule="atLeast"/>
        </w:trPr>
        <w:tc>
          <w:tcPr>
            <w:tcW w:w="280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CopyCat</w:t>
            </w:r>
          </w:p>
        </w:tc>
        <w:tc>
          <w:tcPr>
            <w:tcW w:w="139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0.70</w:t>
            </w:r>
          </w:p>
        </w:tc>
        <w:tc>
          <w:tcPr>
            <w:tcW w:w="171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7.99</w:t>
            </w:r>
          </w:p>
        </w:tc>
        <w:tc>
          <w:tcPr>
            <w:tcW w:w="169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57.42</w:t>
            </w:r>
          </w:p>
        </w:tc>
        <w:tc>
          <w:tcPr>
            <w:tcW w:w="165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NA</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60" w:hRule="atLeast"/>
        </w:trPr>
        <w:tc>
          <w:tcPr>
            <w:tcW w:w="280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Control-FREEC</w:t>
            </w:r>
          </w:p>
        </w:tc>
        <w:tc>
          <w:tcPr>
            <w:tcW w:w="139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0.68</w:t>
            </w:r>
          </w:p>
        </w:tc>
        <w:tc>
          <w:tcPr>
            <w:tcW w:w="171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1.58</w:t>
            </w:r>
          </w:p>
        </w:tc>
        <w:tc>
          <w:tcPr>
            <w:tcW w:w="169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18.47</w:t>
            </w:r>
          </w:p>
        </w:tc>
        <w:tc>
          <w:tcPr>
            <w:tcW w:w="165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2.24</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60" w:hRule="atLeast"/>
        </w:trPr>
        <w:tc>
          <w:tcPr>
            <w:tcW w:w="280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MetaCNV</w:t>
            </w:r>
          </w:p>
        </w:tc>
        <w:tc>
          <w:tcPr>
            <w:tcW w:w="139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0.29</w:t>
            </w:r>
          </w:p>
        </w:tc>
        <w:tc>
          <w:tcPr>
            <w:tcW w:w="171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0.57</w:t>
            </w:r>
          </w:p>
        </w:tc>
        <w:tc>
          <w:tcPr>
            <w:tcW w:w="169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0.80</w:t>
            </w:r>
          </w:p>
        </w:tc>
        <w:tc>
          <w:tcPr>
            <w:tcW w:w="165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0.50</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60" w:hRule="atLeast"/>
        </w:trPr>
        <w:tc>
          <w:tcPr>
            <w:tcW w:w="280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ReadDepth</w:t>
            </w:r>
          </w:p>
        </w:tc>
        <w:tc>
          <w:tcPr>
            <w:tcW w:w="139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0.36</w:t>
            </w:r>
          </w:p>
        </w:tc>
        <w:tc>
          <w:tcPr>
            <w:tcW w:w="171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6.27</w:t>
            </w:r>
          </w:p>
        </w:tc>
        <w:tc>
          <w:tcPr>
            <w:tcW w:w="169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20.95</w:t>
            </w:r>
          </w:p>
        </w:tc>
        <w:tc>
          <w:tcPr>
            <w:tcW w:w="165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0.78</w:t>
            </w: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60" w:hRule="atLeast"/>
        </w:trPr>
        <w:tc>
          <w:tcPr>
            <w:tcW w:w="280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SVDetect matchedNORMAL</w:t>
            </w:r>
          </w:p>
        </w:tc>
        <w:tc>
          <w:tcPr>
            <w:tcW w:w="139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0.20</w:t>
            </w:r>
          </w:p>
        </w:tc>
        <w:tc>
          <w:tcPr>
            <w:tcW w:w="171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0.97</w:t>
            </w:r>
          </w:p>
        </w:tc>
        <w:tc>
          <w:tcPr>
            <w:tcW w:w="169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p>
        </w:tc>
        <w:tc>
          <w:tcPr>
            <w:tcW w:w="165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p>
        </w:tc>
      </w:tr>
      <w:tr>
        <w:tblPrEx>
          <w:tblBorders>
            <w:top w:val="single" w:color="CCCCCC" w:sz="6" w:space="0"/>
            <w:left w:val="single" w:color="CCCCCC" w:sz="6" w:space="0"/>
            <w:bottom w:val="single" w:color="CCCCCC" w:sz="6" w:space="0"/>
            <w:right w:val="single" w:color="CCCCCC" w:sz="6" w:space="0"/>
            <w:insideH w:val="single" w:color="CCCCCC" w:sz="6" w:space="0"/>
            <w:insideV w:val="single" w:color="CCCCCC" w:sz="6" w:space="0"/>
          </w:tblBorders>
          <w:tblLayout w:type="fixed"/>
          <w:tblCellMar>
            <w:top w:w="40" w:type="dxa"/>
            <w:left w:w="32" w:type="dxa"/>
            <w:bottom w:w="40" w:type="dxa"/>
            <w:right w:w="40" w:type="dxa"/>
          </w:tblCellMar>
        </w:tblPrEx>
        <w:trPr>
          <w:trHeight w:val="360" w:hRule="atLeast"/>
        </w:trPr>
        <w:tc>
          <w:tcPr>
            <w:tcW w:w="280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SVDetect simNORMAL</w:t>
            </w:r>
          </w:p>
        </w:tc>
        <w:tc>
          <w:tcPr>
            <w:tcW w:w="139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0.14</w:t>
            </w:r>
          </w:p>
        </w:tc>
        <w:tc>
          <w:tcPr>
            <w:tcW w:w="171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0.75</w:t>
            </w:r>
          </w:p>
        </w:tc>
        <w:tc>
          <w:tcPr>
            <w:tcW w:w="1695"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3.25</w:t>
            </w:r>
          </w:p>
        </w:tc>
        <w:tc>
          <w:tcPr>
            <w:tcW w:w="1650" w:type="dxa"/>
            <w:tcBorders>
              <w:top w:val="single" w:color="CCCCCC" w:sz="6" w:space="0"/>
              <w:left w:val="single" w:color="CCCCCC" w:sz="6" w:space="0"/>
              <w:bottom w:val="single" w:color="CCCCCC" w:sz="6" w:space="0"/>
              <w:right w:val="single" w:color="CCCCCC" w:sz="6" w:space="0"/>
              <w:insideH w:val="single" w:sz="6" w:space="0"/>
              <w:insideV w:val="single" w:sz="6" w:space="0"/>
            </w:tcBorders>
            <w:shd w:val="clear" w:color="auto" w:fill="auto"/>
            <w:tcMar>
              <w:top w:w="0" w:type="dxa"/>
              <w:left w:w="-7" w:type="dxa"/>
              <w:bottom w:w="0" w:type="dxa"/>
              <w:right w:w="0" w:type="dxa"/>
            </w:tcMar>
            <w:vAlign w:val="center"/>
          </w:tcPr>
          <w:p>
            <w:pPr>
              <w:pageBreakBefore w:val="0"/>
              <w:widowControl w:val="0"/>
              <w:kinsoku/>
              <w:wordWrap/>
              <w:overflowPunct/>
              <w:topLinePunct w:val="0"/>
              <w:autoSpaceDE/>
              <w:autoSpaceDN/>
              <w:bidi w:val="0"/>
              <w:adjustRightInd/>
              <w:spacing w:line="240" w:lineRule="auto"/>
              <w:jc w:val="right"/>
              <w:textAlignment w:val="auto"/>
              <w:rPr>
                <w:rFonts w:ascii="Times New Roman" w:hAnsi="Times New Roman" w:eastAsia="Times New Roman" w:cs="Times New Roman"/>
              </w:rPr>
            </w:pPr>
            <w:r>
              <w:rPr>
                <w:rFonts w:ascii="Times New Roman" w:hAnsi="Times New Roman" w:eastAsia="Times New Roman" w:cs="Times New Roman"/>
              </w:rPr>
              <w:t>0.92</w:t>
            </w:r>
          </w:p>
        </w:tc>
      </w:tr>
    </w:tbl>
    <w:p>
      <w:bookmarkStart w:id="7" w:name="_y7dcoptckmcs"/>
      <w:bookmarkEnd w:id="7"/>
    </w:p>
    <w:p>
      <w:pPr>
        <w:pageBreakBefore w:val="0"/>
        <w:kinsoku/>
        <w:wordWrap/>
        <w:overflowPunct/>
        <w:topLinePunct w:val="0"/>
        <w:autoSpaceDE/>
        <w:autoSpaceDN/>
        <w:bidi w:val="0"/>
        <w:adjustRightInd/>
        <w:spacing w:line="480" w:lineRule="auto"/>
        <w:textAlignment w:val="auto"/>
      </w:pPr>
      <w:r>
        <w:rPr>
          <w:rFonts w:ascii="Times New Roman" w:hAnsi="Times New Roman" w:eastAsia="Times New Roman" w:cs="Times New Roman"/>
          <w:b/>
          <w:color w:val="333333"/>
        </w:rPr>
        <w:t>Table S10.</w:t>
      </w:r>
      <w:r>
        <w:rPr>
          <w:rFonts w:ascii="Times New Roman" w:hAnsi="Times New Roman" w:eastAsia="Times New Roman" w:cs="Times New Roman"/>
          <w:color w:val="333333"/>
        </w:rPr>
        <w:t xml:space="preserve"> Benchmark results for MetaCNV on cancer cell line </w:t>
      </w:r>
      <w:r>
        <w:rPr>
          <w:rFonts w:ascii="Times New Roman" w:hAnsi="Times New Roman" w:eastAsia="Times New Roman" w:cs="Times New Roman"/>
        </w:rPr>
        <w:t>PC3 aligned with Bowtie2 or BWA</w:t>
      </w:r>
    </w:p>
    <w:tbl>
      <w:tblPr>
        <w:tblStyle w:val="17"/>
        <w:tblW w:w="9075" w:type="dxa"/>
        <w:tblInd w:w="58"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fixed"/>
        <w:tblCellMar>
          <w:top w:w="100" w:type="dxa"/>
          <w:left w:w="95" w:type="dxa"/>
          <w:bottom w:w="100" w:type="dxa"/>
          <w:right w:w="100" w:type="dxa"/>
        </w:tblCellMar>
      </w:tblPr>
      <w:tblGrid>
        <w:gridCol w:w="2790"/>
        <w:gridCol w:w="1571"/>
        <w:gridCol w:w="1571"/>
        <w:gridCol w:w="1571"/>
        <w:gridCol w:w="1572"/>
      </w:tblGrid>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fixed"/>
          <w:tblCellMar>
            <w:top w:w="100" w:type="dxa"/>
            <w:left w:w="95" w:type="dxa"/>
            <w:bottom w:w="100" w:type="dxa"/>
            <w:right w:w="100" w:type="dxa"/>
          </w:tblCellMar>
        </w:tblPrEx>
        <w:trPr>
          <w:cantSplit/>
          <w:trHeight w:val="0" w:hRule="atLeast"/>
        </w:trPr>
        <w:tc>
          <w:tcPr>
            <w:tcW w:w="2790" w:type="dxa"/>
            <w:tcBorders>
              <w:top w:val="single" w:color="BABABA" w:themeColor="background1" w:themeShade="BF" w:sz="4" w:space="0"/>
              <w:left w:val="single" w:color="BABABA" w:themeColor="background1" w:themeShade="BF" w:sz="4" w:space="0"/>
              <w:bottom w:val="single" w:color="BABABA" w:themeColor="background1" w:themeShade="BF" w:sz="4" w:space="0"/>
              <w:right w:val="single" w:color="BABABA" w:themeColor="background1" w:themeShade="BF" w:sz="4" w:space="0"/>
              <w:insideH w:val="single" w:sz="4" w:space="0"/>
              <w:insideV w:val="single" w:sz="4" w:space="0"/>
            </w:tcBorders>
            <w:shd w:val="clear" w:color="auto" w:fill="auto"/>
            <w:tcMar>
              <w:left w:w="95" w:type="dxa"/>
            </w:tcMar>
            <w:vAlign w:val="top"/>
          </w:tcPr>
          <w:p>
            <w:pPr>
              <w:keepNext/>
              <w:keepLines w:val="0"/>
              <w:pageBreakBefore w:val="0"/>
              <w:widowControl w:val="0"/>
              <w:shd w:val="clear" w:fill="auto"/>
              <w:kinsoku/>
              <w:wordWrap/>
              <w:overflowPunct/>
              <w:topLinePunct w:val="0"/>
              <w:autoSpaceDE/>
              <w:autoSpaceDN/>
              <w:bidi w:val="0"/>
              <w:adjustRightInd/>
              <w:snapToGrid w:val="0"/>
              <w:spacing w:line="240" w:lineRule="auto"/>
              <w:ind w:left="0" w:right="0" w:firstLine="0"/>
              <w:jc w:val="left"/>
              <w:textAlignment w:val="auto"/>
              <w:rPr>
                <w:rFonts w:ascii="Times New Roman" w:hAnsi="Times New Roman" w:eastAsia="Times New Roman" w:cs="Times New Roman"/>
              </w:rPr>
            </w:pPr>
            <w:r>
              <w:rPr>
                <w:rFonts w:ascii="Times New Roman" w:hAnsi="Times New Roman" w:eastAsia="Times New Roman" w:cs="Times New Roman"/>
              </w:rPr>
              <w:t>MetaCNV</w:t>
            </w:r>
          </w:p>
        </w:tc>
        <w:tc>
          <w:tcPr>
            <w:tcW w:w="1571" w:type="dxa"/>
            <w:tcBorders>
              <w:top w:val="single" w:color="BABABA" w:themeColor="background1" w:themeShade="BF" w:sz="4" w:space="0"/>
              <w:left w:val="single" w:color="BABABA" w:themeColor="background1" w:themeShade="BF" w:sz="4" w:space="0"/>
              <w:bottom w:val="single" w:color="BABABA" w:themeColor="background1" w:themeShade="BF" w:sz="4" w:space="0"/>
              <w:right w:val="single" w:color="BABABA" w:themeColor="background1" w:themeShade="BF" w:sz="4" w:space="0"/>
              <w:insideH w:val="single" w:sz="4" w:space="0"/>
              <w:insideV w:val="single" w:sz="4" w:space="0"/>
            </w:tcBorders>
            <w:shd w:val="clear" w:color="auto" w:fill="auto"/>
            <w:tcMar>
              <w:left w:w="95" w:type="dxa"/>
            </w:tcMar>
            <w:vAlign w:val="top"/>
          </w:tcPr>
          <w:p>
            <w:pPr>
              <w:keepNext/>
              <w:keepLines w:val="0"/>
              <w:pageBreakBefore w:val="0"/>
              <w:widowControl w:val="0"/>
              <w:shd w:val="clear" w:fill="auto"/>
              <w:kinsoku/>
              <w:wordWrap/>
              <w:overflowPunct/>
              <w:topLinePunct w:val="0"/>
              <w:autoSpaceDE/>
              <w:autoSpaceDN/>
              <w:bidi w:val="0"/>
              <w:adjustRightInd/>
              <w:snapToGrid w:val="0"/>
              <w:spacing w:line="240" w:lineRule="auto"/>
              <w:ind w:left="0" w:right="0" w:firstLine="0"/>
              <w:jc w:val="left"/>
              <w:textAlignment w:val="auto"/>
              <w:rPr>
                <w:rFonts w:ascii="Times New Roman" w:hAnsi="Times New Roman" w:eastAsia="Times New Roman" w:cs="Times New Roman"/>
              </w:rPr>
            </w:pPr>
            <w:r>
              <w:rPr>
                <w:rFonts w:ascii="Times New Roman" w:hAnsi="Times New Roman" w:eastAsia="Times New Roman" w:cs="Times New Roman"/>
              </w:rPr>
              <w:t>MSE</w:t>
            </w:r>
          </w:p>
        </w:tc>
        <w:tc>
          <w:tcPr>
            <w:tcW w:w="1571" w:type="dxa"/>
            <w:tcBorders>
              <w:top w:val="single" w:color="BABABA" w:themeColor="background1" w:themeShade="BF" w:sz="4" w:space="0"/>
              <w:left w:val="single" w:color="BABABA" w:themeColor="background1" w:themeShade="BF" w:sz="4" w:space="0"/>
              <w:bottom w:val="single" w:color="BABABA" w:themeColor="background1" w:themeShade="BF" w:sz="4" w:space="0"/>
              <w:right w:val="single" w:color="BABABA" w:themeColor="background1" w:themeShade="BF" w:sz="4" w:space="0"/>
              <w:insideH w:val="single" w:sz="4" w:space="0"/>
              <w:insideV w:val="single" w:sz="4" w:space="0"/>
            </w:tcBorders>
            <w:shd w:val="clear" w:color="auto" w:fill="auto"/>
            <w:tcMar>
              <w:left w:w="95" w:type="dxa"/>
            </w:tcMar>
            <w:vAlign w:val="top"/>
          </w:tcPr>
          <w:p>
            <w:pPr>
              <w:keepNext/>
              <w:keepLines w:val="0"/>
              <w:pageBreakBefore w:val="0"/>
              <w:widowControl w:val="0"/>
              <w:shd w:val="clear" w:fill="auto"/>
              <w:kinsoku/>
              <w:wordWrap/>
              <w:overflowPunct/>
              <w:topLinePunct w:val="0"/>
              <w:autoSpaceDE/>
              <w:autoSpaceDN/>
              <w:bidi w:val="0"/>
              <w:adjustRightInd/>
              <w:snapToGrid w:val="0"/>
              <w:spacing w:line="240" w:lineRule="auto"/>
              <w:ind w:left="0" w:right="0" w:firstLine="0"/>
              <w:jc w:val="left"/>
              <w:textAlignment w:val="auto"/>
              <w:rPr>
                <w:rFonts w:ascii="Times New Roman" w:hAnsi="Times New Roman" w:eastAsia="Times New Roman" w:cs="Times New Roman"/>
              </w:rPr>
            </w:pPr>
            <w:r>
              <w:rPr>
                <w:rFonts w:ascii="Times New Roman" w:hAnsi="Times New Roman" w:eastAsia="Times New Roman" w:cs="Times New Roman"/>
              </w:rPr>
              <w:t>MAE</w:t>
            </w:r>
          </w:p>
        </w:tc>
        <w:tc>
          <w:tcPr>
            <w:tcW w:w="1571" w:type="dxa"/>
            <w:tcBorders>
              <w:top w:val="single" w:color="BABABA" w:themeColor="background1" w:themeShade="BF" w:sz="4" w:space="0"/>
              <w:left w:val="single" w:color="BABABA" w:themeColor="background1" w:themeShade="BF" w:sz="4" w:space="0"/>
              <w:bottom w:val="single" w:color="BABABA" w:themeColor="background1" w:themeShade="BF" w:sz="4" w:space="0"/>
              <w:right w:val="single" w:color="BABABA" w:themeColor="background1" w:themeShade="BF" w:sz="4" w:space="0"/>
              <w:insideH w:val="single" w:sz="4" w:space="0"/>
              <w:insideV w:val="single" w:sz="4" w:space="0"/>
            </w:tcBorders>
            <w:shd w:val="clear" w:color="auto" w:fill="auto"/>
            <w:tcMar>
              <w:left w:w="95" w:type="dxa"/>
            </w:tcMar>
            <w:vAlign w:val="top"/>
          </w:tcPr>
          <w:p>
            <w:pPr>
              <w:keepNext/>
              <w:keepLines w:val="0"/>
              <w:pageBreakBefore w:val="0"/>
              <w:widowControl w:val="0"/>
              <w:shd w:val="clear" w:fill="auto"/>
              <w:kinsoku/>
              <w:wordWrap/>
              <w:overflowPunct/>
              <w:topLinePunct w:val="0"/>
              <w:autoSpaceDE/>
              <w:autoSpaceDN/>
              <w:bidi w:val="0"/>
              <w:adjustRightInd/>
              <w:snapToGrid w:val="0"/>
              <w:spacing w:line="240" w:lineRule="auto"/>
              <w:ind w:left="0" w:right="0" w:firstLine="0"/>
              <w:jc w:val="left"/>
              <w:textAlignment w:val="auto"/>
              <w:rPr>
                <w:rFonts w:ascii="Times New Roman" w:hAnsi="Times New Roman" w:eastAsia="Times New Roman" w:cs="Times New Roman"/>
              </w:rPr>
            </w:pPr>
            <w:r>
              <w:rPr>
                <w:rFonts w:ascii="Times New Roman" w:hAnsi="Times New Roman" w:eastAsia="Times New Roman" w:cs="Times New Roman"/>
              </w:rPr>
              <w:t>MCC</w:t>
            </w:r>
          </w:p>
        </w:tc>
        <w:tc>
          <w:tcPr>
            <w:tcW w:w="1572" w:type="dxa"/>
            <w:tcBorders>
              <w:top w:val="single" w:color="BABABA" w:themeColor="background1" w:themeShade="BF" w:sz="4" w:space="0"/>
              <w:left w:val="single" w:color="BABABA" w:themeColor="background1" w:themeShade="BF" w:sz="4" w:space="0"/>
              <w:bottom w:val="single" w:color="BABABA" w:themeColor="background1" w:themeShade="BF" w:sz="4" w:space="0"/>
              <w:right w:val="single" w:color="BABABA" w:themeColor="background1" w:themeShade="BF" w:sz="4" w:space="0"/>
              <w:insideH w:val="single" w:sz="4" w:space="0"/>
              <w:insideV w:val="single" w:sz="4" w:space="0"/>
            </w:tcBorders>
            <w:shd w:val="clear" w:color="auto" w:fill="auto"/>
            <w:tcMar>
              <w:left w:w="95" w:type="dxa"/>
            </w:tcMar>
            <w:vAlign w:val="top"/>
          </w:tcPr>
          <w:p>
            <w:pPr>
              <w:keepNext/>
              <w:keepLines w:val="0"/>
              <w:pageBreakBefore w:val="0"/>
              <w:widowControl w:val="0"/>
              <w:shd w:val="clear" w:fill="auto"/>
              <w:kinsoku/>
              <w:wordWrap/>
              <w:overflowPunct/>
              <w:topLinePunct w:val="0"/>
              <w:autoSpaceDE/>
              <w:autoSpaceDN/>
              <w:bidi w:val="0"/>
              <w:adjustRightInd/>
              <w:snapToGrid w:val="0"/>
              <w:spacing w:line="240" w:lineRule="auto"/>
              <w:ind w:left="0" w:right="0" w:firstLine="0"/>
              <w:jc w:val="left"/>
              <w:textAlignment w:val="auto"/>
              <w:rPr>
                <w:rFonts w:ascii="Times New Roman" w:hAnsi="Times New Roman" w:eastAsia="Times New Roman" w:cs="Times New Roman"/>
              </w:rPr>
            </w:pPr>
            <w:r>
              <w:rPr>
                <w:rFonts w:ascii="Times New Roman" w:hAnsi="Times New Roman" w:eastAsia="Times New Roman" w:cs="Times New Roman"/>
              </w:rPr>
              <w:t>MLRE</w:t>
            </w:r>
          </w:p>
        </w:tc>
      </w:tr>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fixed"/>
          <w:tblCellMar>
            <w:top w:w="100" w:type="dxa"/>
            <w:left w:w="95" w:type="dxa"/>
            <w:bottom w:w="100" w:type="dxa"/>
            <w:right w:w="100" w:type="dxa"/>
          </w:tblCellMar>
        </w:tblPrEx>
        <w:trPr>
          <w:cantSplit/>
          <w:trHeight w:val="0" w:hRule="atLeast"/>
        </w:trPr>
        <w:tc>
          <w:tcPr>
            <w:tcW w:w="2790" w:type="dxa"/>
            <w:tcBorders>
              <w:top w:val="single" w:color="BABABA" w:themeColor="background1" w:themeShade="BF" w:sz="4" w:space="0"/>
              <w:left w:val="single" w:color="BABABA" w:themeColor="background1" w:themeShade="BF" w:sz="4" w:space="0"/>
              <w:bottom w:val="single" w:color="BABABA" w:themeColor="background1" w:themeShade="BF" w:sz="4" w:space="0"/>
              <w:right w:val="single" w:color="BABABA" w:themeColor="background1" w:themeShade="BF" w:sz="4" w:space="0"/>
              <w:insideH w:val="single" w:sz="4" w:space="0"/>
              <w:insideV w:val="single" w:sz="4" w:space="0"/>
            </w:tcBorders>
            <w:shd w:val="clear" w:color="auto" w:fill="auto"/>
            <w:tcMar>
              <w:left w:w="95" w:type="dxa"/>
            </w:tcMar>
            <w:vAlign w:val="top"/>
          </w:tcPr>
          <w:p>
            <w:pPr>
              <w:keepNext/>
              <w:keepLines w:val="0"/>
              <w:pageBreakBefore w:val="0"/>
              <w:widowControl w:val="0"/>
              <w:shd w:val="clear" w:fill="auto"/>
              <w:kinsoku/>
              <w:wordWrap/>
              <w:overflowPunct/>
              <w:topLinePunct w:val="0"/>
              <w:autoSpaceDE/>
              <w:autoSpaceDN/>
              <w:bidi w:val="0"/>
              <w:adjustRightInd/>
              <w:snapToGrid w:val="0"/>
              <w:spacing w:line="240" w:lineRule="auto"/>
              <w:ind w:left="0" w:right="0" w:firstLine="0"/>
              <w:jc w:val="left"/>
              <w:textAlignment w:val="auto"/>
              <w:rPr>
                <w:rFonts w:ascii="Times New Roman" w:hAnsi="Times New Roman" w:eastAsia="Times New Roman" w:cs="Times New Roman"/>
              </w:rPr>
            </w:pPr>
            <w:r>
              <w:rPr>
                <w:rFonts w:ascii="Times New Roman" w:hAnsi="Times New Roman" w:eastAsia="Times New Roman" w:cs="Times New Roman"/>
              </w:rPr>
              <w:t>PC3 Bowtie2 aligned 76x</w:t>
            </w:r>
          </w:p>
        </w:tc>
        <w:tc>
          <w:tcPr>
            <w:tcW w:w="1571" w:type="dxa"/>
            <w:tcBorders>
              <w:top w:val="single" w:color="BABABA" w:themeColor="background1" w:themeShade="BF" w:sz="4" w:space="0"/>
              <w:left w:val="single" w:color="BABABA" w:themeColor="background1" w:themeShade="BF" w:sz="4" w:space="0"/>
              <w:bottom w:val="single" w:color="BABABA" w:themeColor="background1" w:themeShade="BF" w:sz="4" w:space="0"/>
              <w:right w:val="single" w:color="BABABA" w:themeColor="background1" w:themeShade="BF" w:sz="4" w:space="0"/>
              <w:insideH w:val="single" w:sz="4" w:space="0"/>
              <w:insideV w:val="single" w:sz="4" w:space="0"/>
            </w:tcBorders>
            <w:shd w:val="clear" w:color="auto" w:fill="auto"/>
            <w:tcMar>
              <w:left w:w="95" w:type="dxa"/>
            </w:tcMar>
            <w:vAlign w:val="top"/>
          </w:tcPr>
          <w:p>
            <w:pPr>
              <w:keepNext/>
              <w:keepLines w:val="0"/>
              <w:pageBreakBefore w:val="0"/>
              <w:widowControl w:val="0"/>
              <w:shd w:val="clear" w:fill="auto"/>
              <w:kinsoku/>
              <w:wordWrap/>
              <w:overflowPunct/>
              <w:topLinePunct w:val="0"/>
              <w:autoSpaceDE/>
              <w:autoSpaceDN/>
              <w:bidi w:val="0"/>
              <w:adjustRightInd/>
              <w:snapToGrid w:val="0"/>
              <w:spacing w:line="240" w:lineRule="auto"/>
              <w:ind w:left="0" w:right="0" w:firstLine="0"/>
              <w:jc w:val="left"/>
              <w:textAlignment w:val="auto"/>
              <w:rPr>
                <w:rFonts w:ascii="Times New Roman" w:hAnsi="Times New Roman" w:eastAsia="Times New Roman" w:cs="Times New Roman"/>
              </w:rPr>
            </w:pPr>
            <w:r>
              <w:rPr>
                <w:rFonts w:ascii="Times New Roman" w:hAnsi="Times New Roman" w:eastAsia="Times New Roman" w:cs="Times New Roman"/>
              </w:rPr>
              <w:t>6.87</w:t>
            </w:r>
          </w:p>
        </w:tc>
        <w:tc>
          <w:tcPr>
            <w:tcW w:w="1571" w:type="dxa"/>
            <w:tcBorders>
              <w:top w:val="single" w:color="BABABA" w:themeColor="background1" w:themeShade="BF" w:sz="4" w:space="0"/>
              <w:left w:val="single" w:color="BABABA" w:themeColor="background1" w:themeShade="BF" w:sz="4" w:space="0"/>
              <w:bottom w:val="single" w:color="BABABA" w:themeColor="background1" w:themeShade="BF" w:sz="4" w:space="0"/>
              <w:right w:val="single" w:color="BABABA" w:themeColor="background1" w:themeShade="BF" w:sz="4" w:space="0"/>
              <w:insideH w:val="single" w:sz="4" w:space="0"/>
              <w:insideV w:val="single" w:sz="4" w:space="0"/>
            </w:tcBorders>
            <w:shd w:val="clear" w:color="auto" w:fill="auto"/>
            <w:tcMar>
              <w:left w:w="95" w:type="dxa"/>
            </w:tcMar>
            <w:vAlign w:val="top"/>
          </w:tcPr>
          <w:p>
            <w:pPr>
              <w:keepNext/>
              <w:keepLines w:val="0"/>
              <w:pageBreakBefore w:val="0"/>
              <w:widowControl w:val="0"/>
              <w:shd w:val="clear" w:fill="auto"/>
              <w:kinsoku/>
              <w:wordWrap/>
              <w:overflowPunct/>
              <w:topLinePunct w:val="0"/>
              <w:autoSpaceDE/>
              <w:autoSpaceDN/>
              <w:bidi w:val="0"/>
              <w:adjustRightInd/>
              <w:snapToGrid w:val="0"/>
              <w:spacing w:line="240" w:lineRule="auto"/>
              <w:ind w:left="0" w:right="0" w:firstLine="0"/>
              <w:jc w:val="left"/>
              <w:textAlignment w:val="auto"/>
              <w:rPr>
                <w:rFonts w:ascii="Times New Roman" w:hAnsi="Times New Roman" w:eastAsia="Times New Roman" w:cs="Times New Roman"/>
              </w:rPr>
            </w:pPr>
            <w:r>
              <w:rPr>
                <w:rFonts w:ascii="Times New Roman" w:hAnsi="Times New Roman" w:eastAsia="Times New Roman" w:cs="Times New Roman"/>
              </w:rPr>
              <w:t>1.70</w:t>
            </w:r>
          </w:p>
        </w:tc>
        <w:tc>
          <w:tcPr>
            <w:tcW w:w="1571" w:type="dxa"/>
            <w:tcBorders>
              <w:top w:val="single" w:color="BABABA" w:themeColor="background1" w:themeShade="BF" w:sz="4" w:space="0"/>
              <w:left w:val="single" w:color="BABABA" w:themeColor="background1" w:themeShade="BF" w:sz="4" w:space="0"/>
              <w:bottom w:val="single" w:color="BABABA" w:themeColor="background1" w:themeShade="BF" w:sz="4" w:space="0"/>
              <w:right w:val="single" w:color="BABABA" w:themeColor="background1" w:themeShade="BF" w:sz="4" w:space="0"/>
              <w:insideH w:val="single" w:sz="4" w:space="0"/>
              <w:insideV w:val="single" w:sz="4" w:space="0"/>
            </w:tcBorders>
            <w:shd w:val="clear" w:color="auto" w:fill="auto"/>
            <w:tcMar>
              <w:left w:w="95" w:type="dxa"/>
            </w:tcMar>
            <w:vAlign w:val="top"/>
          </w:tcPr>
          <w:p>
            <w:pPr>
              <w:keepNext/>
              <w:keepLines w:val="0"/>
              <w:pageBreakBefore w:val="0"/>
              <w:widowControl w:val="0"/>
              <w:shd w:val="clear" w:fill="auto"/>
              <w:kinsoku/>
              <w:wordWrap/>
              <w:overflowPunct/>
              <w:topLinePunct w:val="0"/>
              <w:autoSpaceDE/>
              <w:autoSpaceDN/>
              <w:bidi w:val="0"/>
              <w:adjustRightInd/>
              <w:snapToGrid w:val="0"/>
              <w:spacing w:line="240" w:lineRule="auto"/>
              <w:ind w:left="0" w:right="0" w:firstLine="0"/>
              <w:jc w:val="left"/>
              <w:textAlignment w:val="auto"/>
              <w:rPr>
                <w:rFonts w:ascii="Times New Roman" w:hAnsi="Times New Roman" w:eastAsia="Times New Roman" w:cs="Times New Roman"/>
              </w:rPr>
            </w:pPr>
            <w:r>
              <w:rPr>
                <w:rFonts w:ascii="Times New Roman" w:hAnsi="Times New Roman" w:eastAsia="Times New Roman" w:cs="Times New Roman"/>
              </w:rPr>
              <w:t>0.98</w:t>
            </w:r>
          </w:p>
        </w:tc>
        <w:tc>
          <w:tcPr>
            <w:tcW w:w="1572" w:type="dxa"/>
            <w:tcBorders>
              <w:top w:val="single" w:color="BABABA" w:themeColor="background1" w:themeShade="BF" w:sz="4" w:space="0"/>
              <w:left w:val="single" w:color="BABABA" w:themeColor="background1" w:themeShade="BF" w:sz="4" w:space="0"/>
              <w:bottom w:val="single" w:color="BABABA" w:themeColor="background1" w:themeShade="BF" w:sz="4" w:space="0"/>
              <w:right w:val="single" w:color="BABABA" w:themeColor="background1" w:themeShade="BF" w:sz="4" w:space="0"/>
              <w:insideH w:val="single" w:sz="4" w:space="0"/>
              <w:insideV w:val="single" w:sz="4" w:space="0"/>
            </w:tcBorders>
            <w:shd w:val="clear" w:color="auto" w:fill="auto"/>
            <w:tcMar>
              <w:left w:w="95" w:type="dxa"/>
            </w:tcMar>
            <w:vAlign w:val="top"/>
          </w:tcPr>
          <w:p>
            <w:pPr>
              <w:keepNext/>
              <w:keepLines w:val="0"/>
              <w:pageBreakBefore w:val="0"/>
              <w:widowControl w:val="0"/>
              <w:shd w:val="clear" w:fill="auto"/>
              <w:kinsoku/>
              <w:wordWrap/>
              <w:overflowPunct/>
              <w:topLinePunct w:val="0"/>
              <w:autoSpaceDE/>
              <w:autoSpaceDN/>
              <w:bidi w:val="0"/>
              <w:adjustRightInd/>
              <w:snapToGrid w:val="0"/>
              <w:spacing w:line="240" w:lineRule="auto"/>
              <w:ind w:left="0" w:right="0" w:firstLine="0"/>
              <w:jc w:val="left"/>
              <w:textAlignment w:val="auto"/>
              <w:rPr>
                <w:rFonts w:ascii="Times New Roman" w:hAnsi="Times New Roman" w:eastAsia="Times New Roman" w:cs="Times New Roman"/>
              </w:rPr>
            </w:pPr>
            <w:r>
              <w:rPr>
                <w:rFonts w:ascii="Times New Roman" w:hAnsi="Times New Roman" w:eastAsia="Times New Roman" w:cs="Times New Roman"/>
              </w:rPr>
              <w:t>0.22</w:t>
            </w:r>
          </w:p>
        </w:tc>
      </w:tr>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fixed"/>
          <w:tblCellMar>
            <w:top w:w="100" w:type="dxa"/>
            <w:left w:w="95" w:type="dxa"/>
            <w:bottom w:w="100" w:type="dxa"/>
            <w:right w:w="100" w:type="dxa"/>
          </w:tblCellMar>
        </w:tblPrEx>
        <w:trPr>
          <w:cantSplit/>
          <w:trHeight w:val="0" w:hRule="atLeast"/>
        </w:trPr>
        <w:tc>
          <w:tcPr>
            <w:tcW w:w="2790" w:type="dxa"/>
            <w:tcBorders>
              <w:top w:val="single" w:color="BABABA" w:themeColor="background1" w:themeShade="BF" w:sz="4" w:space="0"/>
              <w:left w:val="single" w:color="BABABA" w:themeColor="background1" w:themeShade="BF" w:sz="4" w:space="0"/>
              <w:bottom w:val="single" w:color="BABABA" w:themeColor="background1" w:themeShade="BF" w:sz="4" w:space="0"/>
              <w:right w:val="single" w:color="BABABA" w:themeColor="background1" w:themeShade="BF" w:sz="4" w:space="0"/>
              <w:insideH w:val="single" w:sz="4" w:space="0"/>
              <w:insideV w:val="single" w:sz="4" w:space="0"/>
            </w:tcBorders>
            <w:shd w:val="clear" w:color="auto" w:fill="auto"/>
            <w:tcMar>
              <w:left w:w="95" w:type="dxa"/>
            </w:tcMar>
            <w:vAlign w:val="top"/>
          </w:tcPr>
          <w:p>
            <w:pPr>
              <w:keepNext/>
              <w:keepLines w:val="0"/>
              <w:pageBreakBefore w:val="0"/>
              <w:widowControl w:val="0"/>
              <w:shd w:val="clear" w:fill="auto"/>
              <w:kinsoku/>
              <w:wordWrap/>
              <w:overflowPunct/>
              <w:topLinePunct w:val="0"/>
              <w:autoSpaceDE/>
              <w:autoSpaceDN/>
              <w:bidi w:val="0"/>
              <w:adjustRightInd/>
              <w:snapToGrid w:val="0"/>
              <w:spacing w:line="240" w:lineRule="auto"/>
              <w:ind w:left="0" w:right="0" w:firstLine="0"/>
              <w:jc w:val="left"/>
              <w:textAlignment w:val="auto"/>
              <w:rPr>
                <w:rFonts w:ascii="Times New Roman" w:hAnsi="Times New Roman" w:eastAsia="Times New Roman" w:cs="Times New Roman"/>
              </w:rPr>
            </w:pPr>
            <w:r>
              <w:rPr>
                <w:rFonts w:ascii="Times New Roman" w:hAnsi="Times New Roman" w:eastAsia="Times New Roman" w:cs="Times New Roman"/>
              </w:rPr>
              <w:t>PC3 BWA aligned 77x</w:t>
            </w:r>
          </w:p>
        </w:tc>
        <w:tc>
          <w:tcPr>
            <w:tcW w:w="1571" w:type="dxa"/>
            <w:tcBorders>
              <w:top w:val="single" w:color="BABABA" w:themeColor="background1" w:themeShade="BF" w:sz="4" w:space="0"/>
              <w:left w:val="single" w:color="BABABA" w:themeColor="background1" w:themeShade="BF" w:sz="4" w:space="0"/>
              <w:bottom w:val="single" w:color="BABABA" w:themeColor="background1" w:themeShade="BF" w:sz="4" w:space="0"/>
              <w:right w:val="single" w:color="BABABA" w:themeColor="background1" w:themeShade="BF" w:sz="4" w:space="0"/>
              <w:insideH w:val="single" w:sz="4" w:space="0"/>
              <w:insideV w:val="single" w:sz="4" w:space="0"/>
            </w:tcBorders>
            <w:shd w:val="clear" w:color="auto" w:fill="auto"/>
            <w:tcMar>
              <w:left w:w="95" w:type="dxa"/>
            </w:tcMar>
            <w:vAlign w:val="top"/>
          </w:tcPr>
          <w:p>
            <w:pPr>
              <w:keepNext/>
              <w:keepLines w:val="0"/>
              <w:pageBreakBefore w:val="0"/>
              <w:widowControl w:val="0"/>
              <w:shd w:val="clear" w:fill="auto"/>
              <w:kinsoku/>
              <w:wordWrap/>
              <w:overflowPunct/>
              <w:topLinePunct w:val="0"/>
              <w:autoSpaceDE/>
              <w:autoSpaceDN/>
              <w:bidi w:val="0"/>
              <w:adjustRightInd/>
              <w:snapToGrid w:val="0"/>
              <w:spacing w:line="240" w:lineRule="auto"/>
              <w:ind w:left="0" w:right="0" w:firstLine="0"/>
              <w:jc w:val="left"/>
              <w:textAlignment w:val="auto"/>
              <w:rPr>
                <w:rFonts w:ascii="Times New Roman" w:hAnsi="Times New Roman" w:eastAsia="Times New Roman" w:cs="Times New Roman"/>
              </w:rPr>
            </w:pPr>
            <w:r>
              <w:rPr>
                <w:rFonts w:ascii="Times New Roman" w:hAnsi="Times New Roman" w:eastAsia="Times New Roman" w:cs="Times New Roman"/>
              </w:rPr>
              <w:t>6.87</w:t>
            </w:r>
          </w:p>
        </w:tc>
        <w:tc>
          <w:tcPr>
            <w:tcW w:w="1571" w:type="dxa"/>
            <w:tcBorders>
              <w:top w:val="single" w:color="BABABA" w:themeColor="background1" w:themeShade="BF" w:sz="4" w:space="0"/>
              <w:left w:val="single" w:color="BABABA" w:themeColor="background1" w:themeShade="BF" w:sz="4" w:space="0"/>
              <w:bottom w:val="single" w:color="BABABA" w:themeColor="background1" w:themeShade="BF" w:sz="4" w:space="0"/>
              <w:right w:val="single" w:color="BABABA" w:themeColor="background1" w:themeShade="BF" w:sz="4" w:space="0"/>
              <w:insideH w:val="single" w:sz="4" w:space="0"/>
              <w:insideV w:val="single" w:sz="4" w:space="0"/>
            </w:tcBorders>
            <w:shd w:val="clear" w:color="auto" w:fill="auto"/>
            <w:tcMar>
              <w:left w:w="95" w:type="dxa"/>
            </w:tcMar>
            <w:vAlign w:val="top"/>
          </w:tcPr>
          <w:p>
            <w:pPr>
              <w:keepNext/>
              <w:keepLines w:val="0"/>
              <w:pageBreakBefore w:val="0"/>
              <w:widowControl w:val="0"/>
              <w:shd w:val="clear" w:fill="auto"/>
              <w:kinsoku/>
              <w:wordWrap/>
              <w:overflowPunct/>
              <w:topLinePunct w:val="0"/>
              <w:autoSpaceDE/>
              <w:autoSpaceDN/>
              <w:bidi w:val="0"/>
              <w:adjustRightInd/>
              <w:snapToGrid w:val="0"/>
              <w:spacing w:line="240" w:lineRule="auto"/>
              <w:ind w:left="0" w:right="0" w:firstLine="0"/>
              <w:jc w:val="left"/>
              <w:textAlignment w:val="auto"/>
              <w:rPr>
                <w:rFonts w:ascii="Times New Roman" w:hAnsi="Times New Roman" w:eastAsia="Times New Roman" w:cs="Times New Roman"/>
              </w:rPr>
            </w:pPr>
            <w:r>
              <w:rPr>
                <w:rFonts w:ascii="Times New Roman" w:hAnsi="Times New Roman" w:eastAsia="Times New Roman" w:cs="Times New Roman"/>
              </w:rPr>
              <w:t>1.67</w:t>
            </w:r>
          </w:p>
        </w:tc>
        <w:tc>
          <w:tcPr>
            <w:tcW w:w="1571" w:type="dxa"/>
            <w:tcBorders>
              <w:top w:val="single" w:color="BABABA" w:themeColor="background1" w:themeShade="BF" w:sz="4" w:space="0"/>
              <w:left w:val="single" w:color="BABABA" w:themeColor="background1" w:themeShade="BF" w:sz="4" w:space="0"/>
              <w:bottom w:val="single" w:color="BABABA" w:themeColor="background1" w:themeShade="BF" w:sz="4" w:space="0"/>
              <w:right w:val="single" w:color="BABABA" w:themeColor="background1" w:themeShade="BF" w:sz="4" w:space="0"/>
              <w:insideH w:val="single" w:sz="4" w:space="0"/>
              <w:insideV w:val="single" w:sz="4" w:space="0"/>
            </w:tcBorders>
            <w:shd w:val="clear" w:color="auto" w:fill="auto"/>
            <w:tcMar>
              <w:left w:w="95" w:type="dxa"/>
            </w:tcMar>
            <w:vAlign w:val="top"/>
          </w:tcPr>
          <w:p>
            <w:pPr>
              <w:keepNext/>
              <w:keepLines w:val="0"/>
              <w:pageBreakBefore w:val="0"/>
              <w:widowControl w:val="0"/>
              <w:shd w:val="clear" w:fill="auto"/>
              <w:kinsoku/>
              <w:wordWrap/>
              <w:overflowPunct/>
              <w:topLinePunct w:val="0"/>
              <w:autoSpaceDE/>
              <w:autoSpaceDN/>
              <w:bidi w:val="0"/>
              <w:adjustRightInd/>
              <w:snapToGrid w:val="0"/>
              <w:spacing w:line="240" w:lineRule="auto"/>
              <w:ind w:left="0" w:right="0" w:firstLine="0"/>
              <w:jc w:val="left"/>
              <w:textAlignment w:val="auto"/>
              <w:rPr>
                <w:rFonts w:ascii="Times New Roman" w:hAnsi="Times New Roman" w:eastAsia="Times New Roman" w:cs="Times New Roman"/>
              </w:rPr>
            </w:pPr>
            <w:r>
              <w:rPr>
                <w:rFonts w:ascii="Times New Roman" w:hAnsi="Times New Roman" w:eastAsia="Times New Roman" w:cs="Times New Roman"/>
              </w:rPr>
              <w:t>0.99</w:t>
            </w:r>
          </w:p>
        </w:tc>
        <w:tc>
          <w:tcPr>
            <w:tcW w:w="1572" w:type="dxa"/>
            <w:tcBorders>
              <w:top w:val="single" w:color="BABABA" w:themeColor="background1" w:themeShade="BF" w:sz="4" w:space="0"/>
              <w:left w:val="single" w:color="BABABA" w:themeColor="background1" w:themeShade="BF" w:sz="4" w:space="0"/>
              <w:bottom w:val="single" w:color="BABABA" w:themeColor="background1" w:themeShade="BF" w:sz="4" w:space="0"/>
              <w:right w:val="single" w:color="BABABA" w:themeColor="background1" w:themeShade="BF" w:sz="4" w:space="0"/>
              <w:insideH w:val="single" w:sz="4" w:space="0"/>
              <w:insideV w:val="single" w:sz="4" w:space="0"/>
            </w:tcBorders>
            <w:shd w:val="clear" w:color="auto" w:fill="auto"/>
            <w:tcMar>
              <w:left w:w="95" w:type="dxa"/>
            </w:tcMar>
            <w:vAlign w:val="top"/>
          </w:tcPr>
          <w:p>
            <w:pPr>
              <w:keepNext/>
              <w:keepLines w:val="0"/>
              <w:pageBreakBefore w:val="0"/>
              <w:widowControl w:val="0"/>
              <w:shd w:val="clear" w:fill="auto"/>
              <w:kinsoku/>
              <w:wordWrap/>
              <w:overflowPunct/>
              <w:topLinePunct w:val="0"/>
              <w:autoSpaceDE/>
              <w:autoSpaceDN/>
              <w:bidi w:val="0"/>
              <w:adjustRightInd/>
              <w:snapToGrid w:val="0"/>
              <w:spacing w:line="240" w:lineRule="auto"/>
              <w:ind w:left="0" w:right="0" w:firstLine="0"/>
              <w:jc w:val="left"/>
              <w:textAlignment w:val="auto"/>
              <w:rPr>
                <w:rFonts w:ascii="Times New Roman" w:hAnsi="Times New Roman" w:eastAsia="Times New Roman" w:cs="Times New Roman"/>
              </w:rPr>
            </w:pPr>
            <w:r>
              <w:rPr>
                <w:rFonts w:ascii="Times New Roman" w:hAnsi="Times New Roman" w:eastAsia="Times New Roman" w:cs="Times New Roman"/>
              </w:rPr>
              <w:t>0.21</w:t>
            </w:r>
          </w:p>
        </w:tc>
      </w:tr>
    </w:tbl>
    <w:p>
      <w:pPr>
        <w:pageBreakBefore w:val="0"/>
        <w:kinsoku/>
        <w:wordWrap/>
        <w:overflowPunct/>
        <w:topLinePunct w:val="0"/>
        <w:autoSpaceDE/>
        <w:autoSpaceDN/>
        <w:bidi w:val="0"/>
        <w:adjustRightInd/>
        <w:spacing w:line="480" w:lineRule="auto"/>
        <w:textAlignment w:val="auto"/>
      </w:pPr>
    </w:p>
    <w:p>
      <w:pPr>
        <w:pStyle w:val="4"/>
        <w:keepNext/>
        <w:keepLines w:val="0"/>
        <w:pageBreakBefore w:val="0"/>
        <w:widowControl/>
        <w:shd w:val="clear" w:fill="auto"/>
        <w:kinsoku/>
        <w:wordWrap/>
        <w:overflowPunct/>
        <w:topLinePunct w:val="0"/>
        <w:autoSpaceDE/>
        <w:autoSpaceDN/>
        <w:bidi w:val="0"/>
        <w:adjustRightInd/>
        <w:spacing w:before="0" w:after="0" w:line="480" w:lineRule="auto"/>
        <w:ind w:left="0" w:right="0" w:firstLine="0"/>
        <w:jc w:val="left"/>
        <w:textAlignment w:val="auto"/>
        <w:rPr>
          <w:b/>
          <w:sz w:val="32"/>
          <w:szCs w:val="32"/>
        </w:rPr>
      </w:pPr>
      <w:bookmarkStart w:id="8" w:name="_85awqqa8tyel"/>
      <w:bookmarkEnd w:id="8"/>
      <w:r>
        <w:rPr>
          <w:b/>
          <w:sz w:val="32"/>
          <w:szCs w:val="32"/>
        </w:rPr>
        <w:t>Pre-processing and application of calling methods</w:t>
      </w:r>
    </w:p>
    <w:p>
      <w:pPr>
        <w:pStyle w:val="5"/>
        <w:keepNext/>
        <w:keepLines/>
        <w:pageBreakBefore w:val="0"/>
        <w:widowControl/>
        <w:shd w:val="clear" w:fill="auto"/>
        <w:kinsoku/>
        <w:wordWrap/>
        <w:overflowPunct/>
        <w:topLinePunct w:val="0"/>
        <w:autoSpaceDE/>
        <w:autoSpaceDN/>
        <w:bidi w:val="0"/>
        <w:adjustRightInd/>
        <w:spacing w:before="0" w:after="0" w:line="480" w:lineRule="auto"/>
        <w:ind w:left="0" w:right="0" w:firstLine="0"/>
        <w:jc w:val="left"/>
        <w:textAlignment w:val="auto"/>
        <w:rPr>
          <w:rFonts w:ascii="Times New Roman" w:hAnsi="Times New Roman" w:eastAsia="Times New Roman" w:cs="Times New Roman"/>
          <w:b/>
          <w:color w:val="000000"/>
          <w:sz w:val="22"/>
          <w:szCs w:val="22"/>
        </w:rPr>
      </w:pPr>
      <w:bookmarkStart w:id="9" w:name="_dh38uw74ykx0"/>
      <w:bookmarkEnd w:id="9"/>
      <w:r>
        <w:rPr>
          <w:rFonts w:ascii="Times New Roman" w:hAnsi="Times New Roman" w:eastAsia="Times New Roman" w:cs="Times New Roman"/>
          <w:b/>
          <w:color w:val="000000"/>
          <w:sz w:val="22"/>
          <w:szCs w:val="22"/>
        </w:rPr>
        <w:t>Alignment &amp; pre-processing of the alignments</w:t>
      </w:r>
    </w:p>
    <w:p>
      <w:pPr>
        <w:pageBreakBefore w:val="0"/>
        <w:kinsoku/>
        <w:wordWrap/>
        <w:overflowPunct/>
        <w:topLinePunct w:val="0"/>
        <w:autoSpaceDE/>
        <w:autoSpaceDN/>
        <w:bidi w:val="0"/>
        <w:adjustRightInd/>
        <w:spacing w:line="480" w:lineRule="auto"/>
        <w:textAlignment w:val="auto"/>
      </w:pPr>
      <w:r>
        <w:rPr>
          <w:rFonts w:ascii="Times New Roman" w:hAnsi="Times New Roman" w:eastAsia="Times New Roman" w:cs="Times New Roman"/>
        </w:rPr>
        <w:t xml:space="preserve">Alignment of raw reads was performed with Bowtie2 [36], removal of duplicates with Picard [37], converting, sorting and indexing with Samtools [38]. </w:t>
      </w:r>
    </w:p>
    <w:p>
      <w:pPr>
        <w:pStyle w:val="5"/>
        <w:keepNext/>
        <w:keepLines/>
        <w:pageBreakBefore w:val="0"/>
        <w:widowControl/>
        <w:shd w:val="clear" w:fill="auto"/>
        <w:kinsoku/>
        <w:wordWrap/>
        <w:overflowPunct/>
        <w:topLinePunct w:val="0"/>
        <w:autoSpaceDE/>
        <w:autoSpaceDN/>
        <w:bidi w:val="0"/>
        <w:adjustRightInd/>
        <w:spacing w:before="0" w:after="0" w:line="480" w:lineRule="auto"/>
        <w:ind w:left="0" w:right="0" w:firstLine="0"/>
        <w:jc w:val="left"/>
        <w:textAlignment w:val="auto"/>
        <w:rPr>
          <w:rFonts w:ascii="Times New Roman" w:hAnsi="Times New Roman" w:eastAsia="Times New Roman" w:cs="Times New Roman"/>
          <w:b/>
          <w:color w:val="000000"/>
          <w:sz w:val="22"/>
          <w:szCs w:val="22"/>
        </w:rPr>
      </w:pPr>
      <w:bookmarkStart w:id="10" w:name="_k79m6xc8tevk"/>
      <w:bookmarkEnd w:id="10"/>
    </w:p>
    <w:p>
      <w:pPr>
        <w:pStyle w:val="5"/>
        <w:keepNext/>
        <w:keepLines/>
        <w:pageBreakBefore w:val="0"/>
        <w:widowControl/>
        <w:shd w:val="clear" w:fill="auto"/>
        <w:kinsoku/>
        <w:wordWrap/>
        <w:overflowPunct/>
        <w:topLinePunct w:val="0"/>
        <w:autoSpaceDE/>
        <w:autoSpaceDN/>
        <w:bidi w:val="0"/>
        <w:adjustRightInd/>
        <w:spacing w:before="0" w:after="0" w:line="480" w:lineRule="auto"/>
        <w:ind w:left="0" w:right="0" w:firstLine="0"/>
        <w:jc w:val="left"/>
        <w:textAlignment w:val="auto"/>
        <w:rPr>
          <w:rFonts w:ascii="Times New Roman" w:hAnsi="Times New Roman" w:eastAsia="Times New Roman" w:cs="Times New Roman"/>
          <w:b/>
          <w:color w:val="000000"/>
          <w:sz w:val="22"/>
          <w:szCs w:val="22"/>
        </w:rPr>
      </w:pPr>
      <w:r>
        <w:rPr>
          <w:rFonts w:ascii="Times New Roman" w:hAnsi="Times New Roman" w:eastAsia="Times New Roman" w:cs="Times New Roman"/>
          <w:b/>
          <w:color w:val="000000"/>
          <w:sz w:val="22"/>
          <w:szCs w:val="22"/>
        </w:rPr>
        <w:t>Copy number calling with ReadDepth</w:t>
      </w: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r>
        <w:rPr>
          <w:rFonts w:ascii="Times New Roman" w:hAnsi="Times New Roman" w:eastAsia="Times New Roman" w:cs="Times New Roman"/>
        </w:rPr>
        <w:t>Bam to bed conversion followed by pre-processing were done accordingly to recommendations of ReadDepth. ReadDepth was run with default parameters (false discovery rate, fdr 0.01) on the cell lines HCC1187, HCC2218, MCF7, PC3, and the single cell sequenced SKBR3. We tested increased FDRs to decrease the bin size but found that the default value of 0.01 is sufficient.</w:t>
      </w: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r>
        <w:rPr>
          <w:rFonts w:ascii="Times New Roman" w:hAnsi="Times New Roman" w:eastAsia="Times New Roman" w:cs="Times New Roman"/>
        </w:rPr>
        <w:t>ReadDepth was run with the option ‘removeGaps=False’ to test if there are regions that are actually deleted but due to smoothing were set as non-deleted; this was not confirmed. Running with removeGaps=TRUE achieves better results for the tested cancer cell lines. Although, there are rare large gaps in genome that could not be removed by ReadDepth, these are non-sequenced regions (no coverage in non-genetic regions with visual check of the alignment).</w:t>
      </w: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p>
    <w:p>
      <w:pPr>
        <w:pageBreakBefore w:val="0"/>
        <w:kinsoku/>
        <w:wordWrap/>
        <w:overflowPunct/>
        <w:topLinePunct w:val="0"/>
        <w:autoSpaceDE/>
        <w:autoSpaceDN/>
        <w:bidi w:val="0"/>
        <w:adjustRightInd/>
        <w:spacing w:line="480" w:lineRule="auto"/>
        <w:textAlignment w:val="auto"/>
      </w:pPr>
      <w:r>
        <w:rPr>
          <w:rFonts w:ascii="Times New Roman" w:hAnsi="Times New Roman" w:eastAsia="Times New Roman" w:cs="Times New Roman"/>
        </w:rPr>
        <w:t xml:space="preserve">Annotations (entrypoints, gcWinds, and mapability) for the respective read length of each cancer cell line were downloaded from </w:t>
      </w:r>
      <w:r>
        <w:fldChar w:fldCharType="begin"/>
      </w:r>
      <w:r>
        <w:instrText xml:space="preserve"> HYPERLINK "https://github.com/chrisamiller/readDepth" \h </w:instrText>
      </w:r>
      <w:r>
        <w:fldChar w:fldCharType="separate"/>
      </w:r>
      <w:r>
        <w:rPr>
          <w:rStyle w:val="72"/>
          <w:rFonts w:ascii="Times New Roman" w:hAnsi="Times New Roman" w:eastAsia="Times New Roman" w:cs="Times New Roman"/>
          <w:u w:val="single"/>
        </w:rPr>
        <w:t>https://github.com/chrisamiller/readDepth</w:t>
      </w:r>
      <w:r>
        <w:rPr>
          <w:rStyle w:val="72"/>
          <w:rFonts w:ascii="Times New Roman" w:hAnsi="Times New Roman" w:eastAsia="Times New Roman" w:cs="Times New Roman"/>
          <w:u w:val="single"/>
        </w:rPr>
        <w:fldChar w:fldCharType="end"/>
      </w:r>
      <w:r>
        <w:rPr>
          <w:rFonts w:ascii="Times New Roman" w:hAnsi="Times New Roman" w:eastAsia="Times New Roman" w:cs="Times New Roman"/>
        </w:rPr>
        <w:t xml:space="preserve"> or created with the provided bash script. </w:t>
      </w: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b/>
        </w:rPr>
      </w:pP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r>
        <w:rPr>
          <w:rFonts w:ascii="Times New Roman" w:hAnsi="Times New Roman" w:eastAsia="Times New Roman" w:cs="Times New Roman"/>
          <w:b/>
        </w:rPr>
        <w:t xml:space="preserve">Table S11. </w:t>
      </w:r>
      <w:r>
        <w:rPr>
          <w:rFonts w:ascii="Times New Roman" w:hAnsi="Times New Roman" w:eastAsia="Times New Roman" w:cs="Times New Roman"/>
          <w:b w:val="0"/>
          <w:bCs/>
        </w:rPr>
        <w:t>Top 20 rows of ReadDepth output for SKBR3 single cell 1 (1x coverage). B</w:t>
      </w:r>
      <w:r>
        <w:rPr>
          <w:rFonts w:ascii="Times New Roman" w:hAnsi="Times New Roman" w:eastAsia="Times New Roman" w:cs="Times New Roman"/>
        </w:rPr>
        <w:t>old column names were used as MetaCNV input for copy number calculation.</w:t>
      </w:r>
    </w:p>
    <w:tbl>
      <w:tblPr>
        <w:tblStyle w:val="17"/>
        <w:tblW w:w="9405" w:type="dxa"/>
        <w:tblInd w:w="-36" w:type="dxa"/>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
      <w:tblGrid>
        <w:gridCol w:w="1215"/>
        <w:gridCol w:w="2219"/>
        <w:gridCol w:w="2250"/>
        <w:gridCol w:w="1620"/>
        <w:gridCol w:w="2101"/>
      </w:tblGrid>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c>
          <w:tcPr>
            <w:tcW w:w="121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Chr</w:t>
            </w:r>
          </w:p>
        </w:tc>
        <w:tc>
          <w:tcPr>
            <w:tcW w:w="221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Segment start coordinate</w:t>
            </w:r>
          </w:p>
        </w:tc>
        <w:tc>
          <w:tcPr>
            <w:tcW w:w="225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Segment end coordinate</w:t>
            </w:r>
          </w:p>
        </w:tc>
        <w:tc>
          <w:tcPr>
            <w:tcW w:w="16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center"/>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Bins</w:t>
            </w:r>
          </w:p>
        </w:tc>
        <w:tc>
          <w:tcPr>
            <w:tcW w:w="2101"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center"/>
              <w:textAlignment w:val="auto"/>
              <w:rPr>
                <w:rFonts w:ascii="Times New Roman" w:hAnsi="Times New Roman" w:eastAsia="Times New Roman" w:cs="Times New Roman"/>
                <w:b/>
                <w:sz w:val="18"/>
                <w:szCs w:val="18"/>
              </w:rPr>
            </w:pPr>
            <w:r>
              <w:rPr>
                <w:rFonts w:ascii="Times New Roman" w:hAnsi="Times New Roman" w:eastAsia="Times New Roman" w:cs="Times New Roman"/>
                <w:b/>
                <w:sz w:val="20"/>
                <w:szCs w:val="20"/>
              </w:rPr>
              <w:t>Copy number</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c>
          <w:tcPr>
            <w:tcW w:w="121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chr1</w:t>
            </w:r>
          </w:p>
        </w:tc>
        <w:tc>
          <w:tcPr>
            <w:tcW w:w="221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w:t>
            </w:r>
          </w:p>
        </w:tc>
        <w:tc>
          <w:tcPr>
            <w:tcW w:w="225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49831500</w:t>
            </w:r>
          </w:p>
        </w:tc>
        <w:tc>
          <w:tcPr>
            <w:tcW w:w="16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1995</w:t>
            </w:r>
          </w:p>
        </w:tc>
        <w:tc>
          <w:tcPr>
            <w:tcW w:w="2101"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b/>
                <w:sz w:val="18"/>
                <w:szCs w:val="18"/>
              </w:rPr>
            </w:pPr>
            <w:r>
              <w:rPr>
                <w:rFonts w:ascii="Times New Roman" w:hAnsi="Times New Roman" w:eastAsia="Times New Roman" w:cs="Times New Roman"/>
                <w:b/>
                <w:sz w:val="20"/>
                <w:szCs w:val="20"/>
              </w:rPr>
              <w:t>0.30</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c>
          <w:tcPr>
            <w:tcW w:w="121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chr1</w:t>
            </w:r>
          </w:p>
        </w:tc>
        <w:tc>
          <w:tcPr>
            <w:tcW w:w="221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49831501</w:t>
            </w:r>
          </w:p>
        </w:tc>
        <w:tc>
          <w:tcPr>
            <w:tcW w:w="225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54085700</w:t>
            </w:r>
          </w:p>
        </w:tc>
        <w:tc>
          <w:tcPr>
            <w:tcW w:w="16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178</w:t>
            </w:r>
          </w:p>
        </w:tc>
        <w:tc>
          <w:tcPr>
            <w:tcW w:w="2101"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b/>
                <w:sz w:val="18"/>
                <w:szCs w:val="18"/>
              </w:rPr>
            </w:pPr>
            <w:r>
              <w:rPr>
                <w:rFonts w:ascii="Times New Roman" w:hAnsi="Times New Roman" w:eastAsia="Times New Roman" w:cs="Times New Roman"/>
                <w:b/>
                <w:sz w:val="20"/>
                <w:szCs w:val="20"/>
              </w:rPr>
              <w:t>0.59</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c>
          <w:tcPr>
            <w:tcW w:w="121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chr1</w:t>
            </w:r>
          </w:p>
        </w:tc>
        <w:tc>
          <w:tcPr>
            <w:tcW w:w="221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54085701</w:t>
            </w:r>
          </w:p>
        </w:tc>
        <w:tc>
          <w:tcPr>
            <w:tcW w:w="225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54659300</w:t>
            </w:r>
          </w:p>
        </w:tc>
        <w:tc>
          <w:tcPr>
            <w:tcW w:w="16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24</w:t>
            </w:r>
          </w:p>
        </w:tc>
        <w:tc>
          <w:tcPr>
            <w:tcW w:w="2101"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b/>
                <w:sz w:val="18"/>
                <w:szCs w:val="18"/>
              </w:rPr>
            </w:pPr>
            <w:r>
              <w:rPr>
                <w:rFonts w:ascii="Times New Roman" w:hAnsi="Times New Roman" w:eastAsia="Times New Roman" w:cs="Times New Roman"/>
                <w:b/>
                <w:sz w:val="20"/>
                <w:szCs w:val="20"/>
              </w:rPr>
              <w:t>7.90</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c>
          <w:tcPr>
            <w:tcW w:w="121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chr1</w:t>
            </w:r>
          </w:p>
        </w:tc>
        <w:tc>
          <w:tcPr>
            <w:tcW w:w="221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54659301</w:t>
            </w:r>
          </w:p>
        </w:tc>
        <w:tc>
          <w:tcPr>
            <w:tcW w:w="225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55089500</w:t>
            </w:r>
          </w:p>
        </w:tc>
        <w:tc>
          <w:tcPr>
            <w:tcW w:w="16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18</w:t>
            </w:r>
          </w:p>
        </w:tc>
        <w:tc>
          <w:tcPr>
            <w:tcW w:w="2101"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b/>
                <w:sz w:val="18"/>
                <w:szCs w:val="18"/>
              </w:rPr>
            </w:pPr>
            <w:r>
              <w:rPr>
                <w:rFonts w:ascii="Times New Roman" w:hAnsi="Times New Roman" w:eastAsia="Times New Roman" w:cs="Times New Roman"/>
                <w:b/>
                <w:sz w:val="20"/>
                <w:szCs w:val="20"/>
              </w:rPr>
              <w:t>0.36</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c>
          <w:tcPr>
            <w:tcW w:w="121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chr1</w:t>
            </w:r>
          </w:p>
        </w:tc>
        <w:tc>
          <w:tcPr>
            <w:tcW w:w="221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55089501</w:t>
            </w:r>
          </w:p>
        </w:tc>
        <w:tc>
          <w:tcPr>
            <w:tcW w:w="225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55543600</w:t>
            </w:r>
          </w:p>
        </w:tc>
        <w:tc>
          <w:tcPr>
            <w:tcW w:w="16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19</w:t>
            </w:r>
          </w:p>
        </w:tc>
        <w:tc>
          <w:tcPr>
            <w:tcW w:w="2101"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b/>
                <w:sz w:val="18"/>
                <w:szCs w:val="18"/>
              </w:rPr>
            </w:pPr>
            <w:r>
              <w:rPr>
                <w:rFonts w:ascii="Times New Roman" w:hAnsi="Times New Roman" w:eastAsia="Times New Roman" w:cs="Times New Roman"/>
                <w:b/>
                <w:sz w:val="20"/>
                <w:szCs w:val="20"/>
              </w:rPr>
              <w:t>0.03</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c>
          <w:tcPr>
            <w:tcW w:w="121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chr1</w:t>
            </w:r>
          </w:p>
        </w:tc>
        <w:tc>
          <w:tcPr>
            <w:tcW w:w="221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55543601</w:t>
            </w:r>
          </w:p>
        </w:tc>
        <w:tc>
          <w:tcPr>
            <w:tcW w:w="225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62594100</w:t>
            </w:r>
          </w:p>
        </w:tc>
        <w:tc>
          <w:tcPr>
            <w:tcW w:w="16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295</w:t>
            </w:r>
          </w:p>
        </w:tc>
        <w:tc>
          <w:tcPr>
            <w:tcW w:w="2101"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b/>
                <w:sz w:val="18"/>
                <w:szCs w:val="18"/>
              </w:rPr>
            </w:pPr>
            <w:r>
              <w:rPr>
                <w:rFonts w:ascii="Times New Roman" w:hAnsi="Times New Roman" w:eastAsia="Times New Roman" w:cs="Times New Roman"/>
                <w:b/>
                <w:sz w:val="20"/>
                <w:szCs w:val="20"/>
              </w:rPr>
              <w:t>0.75</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c>
          <w:tcPr>
            <w:tcW w:w="121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chr1</w:t>
            </w:r>
          </w:p>
        </w:tc>
        <w:tc>
          <w:tcPr>
            <w:tcW w:w="221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62594101</w:t>
            </w:r>
          </w:p>
        </w:tc>
        <w:tc>
          <w:tcPr>
            <w:tcW w:w="225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62904800</w:t>
            </w:r>
          </w:p>
        </w:tc>
        <w:tc>
          <w:tcPr>
            <w:tcW w:w="16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13</w:t>
            </w:r>
          </w:p>
        </w:tc>
        <w:tc>
          <w:tcPr>
            <w:tcW w:w="2101"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b/>
                <w:sz w:val="18"/>
                <w:szCs w:val="18"/>
              </w:rPr>
            </w:pPr>
            <w:r>
              <w:rPr>
                <w:rFonts w:ascii="Times New Roman" w:hAnsi="Times New Roman" w:eastAsia="Times New Roman" w:cs="Times New Roman"/>
                <w:b/>
                <w:sz w:val="20"/>
                <w:szCs w:val="20"/>
              </w:rPr>
              <w:t>0.01</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c>
          <w:tcPr>
            <w:tcW w:w="121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chr1</w:t>
            </w:r>
          </w:p>
        </w:tc>
        <w:tc>
          <w:tcPr>
            <w:tcW w:w="221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62904801</w:t>
            </w:r>
          </w:p>
        </w:tc>
        <w:tc>
          <w:tcPr>
            <w:tcW w:w="225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94046500</w:t>
            </w:r>
          </w:p>
        </w:tc>
        <w:tc>
          <w:tcPr>
            <w:tcW w:w="16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1300</w:t>
            </w:r>
          </w:p>
        </w:tc>
        <w:tc>
          <w:tcPr>
            <w:tcW w:w="2101"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b/>
                <w:sz w:val="18"/>
                <w:szCs w:val="18"/>
              </w:rPr>
            </w:pPr>
            <w:r>
              <w:rPr>
                <w:rFonts w:ascii="Times New Roman" w:hAnsi="Times New Roman" w:eastAsia="Times New Roman" w:cs="Times New Roman"/>
                <w:b/>
                <w:sz w:val="20"/>
                <w:szCs w:val="20"/>
              </w:rPr>
              <w:t>0.85</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c>
          <w:tcPr>
            <w:tcW w:w="121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chr1</w:t>
            </w:r>
          </w:p>
        </w:tc>
        <w:tc>
          <w:tcPr>
            <w:tcW w:w="221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94046501</w:t>
            </w:r>
          </w:p>
        </w:tc>
        <w:tc>
          <w:tcPr>
            <w:tcW w:w="225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94548400</w:t>
            </w:r>
          </w:p>
        </w:tc>
        <w:tc>
          <w:tcPr>
            <w:tcW w:w="16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21</w:t>
            </w:r>
          </w:p>
        </w:tc>
        <w:tc>
          <w:tcPr>
            <w:tcW w:w="2101"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b/>
                <w:sz w:val="18"/>
                <w:szCs w:val="18"/>
              </w:rPr>
            </w:pPr>
            <w:r>
              <w:rPr>
                <w:rFonts w:ascii="Times New Roman" w:hAnsi="Times New Roman" w:eastAsia="Times New Roman" w:cs="Times New Roman"/>
                <w:b/>
                <w:sz w:val="20"/>
                <w:szCs w:val="20"/>
              </w:rPr>
              <w:t>0.04</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c>
          <w:tcPr>
            <w:tcW w:w="121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chr1</w:t>
            </w:r>
          </w:p>
        </w:tc>
        <w:tc>
          <w:tcPr>
            <w:tcW w:w="221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94548401</w:t>
            </w:r>
          </w:p>
        </w:tc>
        <w:tc>
          <w:tcPr>
            <w:tcW w:w="225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110633100</w:t>
            </w:r>
          </w:p>
        </w:tc>
        <w:tc>
          <w:tcPr>
            <w:tcW w:w="16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648</w:t>
            </w:r>
          </w:p>
        </w:tc>
        <w:tc>
          <w:tcPr>
            <w:tcW w:w="2101"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b/>
                <w:sz w:val="18"/>
                <w:szCs w:val="18"/>
              </w:rPr>
            </w:pPr>
            <w:r>
              <w:rPr>
                <w:rFonts w:ascii="Times New Roman" w:hAnsi="Times New Roman" w:eastAsia="Times New Roman" w:cs="Times New Roman"/>
                <w:b/>
                <w:sz w:val="20"/>
                <w:szCs w:val="20"/>
              </w:rPr>
              <w:t>0.85</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c>
          <w:tcPr>
            <w:tcW w:w="121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chr1</w:t>
            </w:r>
          </w:p>
        </w:tc>
        <w:tc>
          <w:tcPr>
            <w:tcW w:w="221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110633101</w:t>
            </w:r>
          </w:p>
        </w:tc>
        <w:tc>
          <w:tcPr>
            <w:tcW w:w="225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111182800</w:t>
            </w:r>
          </w:p>
        </w:tc>
        <w:tc>
          <w:tcPr>
            <w:tcW w:w="16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23</w:t>
            </w:r>
          </w:p>
        </w:tc>
        <w:tc>
          <w:tcPr>
            <w:tcW w:w="2101"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b/>
                <w:sz w:val="18"/>
                <w:szCs w:val="18"/>
              </w:rPr>
            </w:pPr>
            <w:r>
              <w:rPr>
                <w:rFonts w:ascii="Times New Roman" w:hAnsi="Times New Roman" w:eastAsia="Times New Roman" w:cs="Times New Roman"/>
                <w:b/>
                <w:sz w:val="20"/>
                <w:szCs w:val="20"/>
              </w:rPr>
              <w:t>0.04</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c>
          <w:tcPr>
            <w:tcW w:w="121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chr1</w:t>
            </w:r>
          </w:p>
        </w:tc>
        <w:tc>
          <w:tcPr>
            <w:tcW w:w="221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111182801</w:t>
            </w:r>
          </w:p>
        </w:tc>
        <w:tc>
          <w:tcPr>
            <w:tcW w:w="225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112043200</w:t>
            </w:r>
          </w:p>
        </w:tc>
        <w:tc>
          <w:tcPr>
            <w:tcW w:w="16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36</w:t>
            </w:r>
          </w:p>
        </w:tc>
        <w:tc>
          <w:tcPr>
            <w:tcW w:w="2101"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b/>
                <w:sz w:val="18"/>
                <w:szCs w:val="18"/>
              </w:rPr>
            </w:pPr>
            <w:r>
              <w:rPr>
                <w:rFonts w:ascii="Times New Roman" w:hAnsi="Times New Roman" w:eastAsia="Times New Roman" w:cs="Times New Roman"/>
                <w:b/>
                <w:sz w:val="20"/>
                <w:szCs w:val="20"/>
              </w:rPr>
              <w:t>2.00</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c>
          <w:tcPr>
            <w:tcW w:w="121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chr1</w:t>
            </w:r>
          </w:p>
        </w:tc>
        <w:tc>
          <w:tcPr>
            <w:tcW w:w="221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112043201</w:t>
            </w:r>
          </w:p>
        </w:tc>
        <w:tc>
          <w:tcPr>
            <w:tcW w:w="225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113811800</w:t>
            </w:r>
          </w:p>
        </w:tc>
        <w:tc>
          <w:tcPr>
            <w:tcW w:w="16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74</w:t>
            </w:r>
          </w:p>
        </w:tc>
        <w:tc>
          <w:tcPr>
            <w:tcW w:w="2101"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b/>
                <w:sz w:val="18"/>
                <w:szCs w:val="18"/>
              </w:rPr>
            </w:pPr>
            <w:r>
              <w:rPr>
                <w:rFonts w:ascii="Times New Roman" w:hAnsi="Times New Roman" w:eastAsia="Times New Roman" w:cs="Times New Roman"/>
                <w:b/>
                <w:sz w:val="20"/>
                <w:szCs w:val="20"/>
              </w:rPr>
              <w:t>0.16</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c>
          <w:tcPr>
            <w:tcW w:w="121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chr1</w:t>
            </w:r>
          </w:p>
        </w:tc>
        <w:tc>
          <w:tcPr>
            <w:tcW w:w="221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113811801</w:t>
            </w:r>
          </w:p>
        </w:tc>
        <w:tc>
          <w:tcPr>
            <w:tcW w:w="225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114552700</w:t>
            </w:r>
          </w:p>
        </w:tc>
        <w:tc>
          <w:tcPr>
            <w:tcW w:w="16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31</w:t>
            </w:r>
          </w:p>
        </w:tc>
        <w:tc>
          <w:tcPr>
            <w:tcW w:w="2101"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b/>
                <w:sz w:val="18"/>
                <w:szCs w:val="18"/>
              </w:rPr>
            </w:pPr>
            <w:r>
              <w:rPr>
                <w:rFonts w:ascii="Times New Roman" w:hAnsi="Times New Roman" w:eastAsia="Times New Roman" w:cs="Times New Roman"/>
                <w:b/>
                <w:sz w:val="20"/>
                <w:szCs w:val="20"/>
              </w:rPr>
              <w:t>2.40</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c>
          <w:tcPr>
            <w:tcW w:w="121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chr1</w:t>
            </w:r>
          </w:p>
        </w:tc>
        <w:tc>
          <w:tcPr>
            <w:tcW w:w="221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114552701</w:t>
            </w:r>
          </w:p>
        </w:tc>
        <w:tc>
          <w:tcPr>
            <w:tcW w:w="225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114791700</w:t>
            </w:r>
          </w:p>
        </w:tc>
        <w:tc>
          <w:tcPr>
            <w:tcW w:w="16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10</w:t>
            </w:r>
          </w:p>
        </w:tc>
        <w:tc>
          <w:tcPr>
            <w:tcW w:w="2101"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b/>
                <w:sz w:val="18"/>
                <w:szCs w:val="18"/>
              </w:rPr>
            </w:pPr>
            <w:r>
              <w:rPr>
                <w:rFonts w:ascii="Times New Roman" w:hAnsi="Times New Roman" w:eastAsia="Times New Roman" w:cs="Times New Roman"/>
                <w:b/>
                <w:sz w:val="20"/>
                <w:szCs w:val="20"/>
              </w:rPr>
              <w:t>0.03</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c>
          <w:tcPr>
            <w:tcW w:w="121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chr1</w:t>
            </w:r>
          </w:p>
        </w:tc>
        <w:tc>
          <w:tcPr>
            <w:tcW w:w="221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114791701</w:t>
            </w:r>
          </w:p>
        </w:tc>
        <w:tc>
          <w:tcPr>
            <w:tcW w:w="225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121352250</w:t>
            </w:r>
          </w:p>
        </w:tc>
        <w:tc>
          <w:tcPr>
            <w:tcW w:w="16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254</w:t>
            </w:r>
          </w:p>
        </w:tc>
        <w:tc>
          <w:tcPr>
            <w:tcW w:w="2101"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b/>
                <w:sz w:val="18"/>
                <w:szCs w:val="18"/>
              </w:rPr>
            </w:pPr>
            <w:r>
              <w:rPr>
                <w:rFonts w:ascii="Times New Roman" w:hAnsi="Times New Roman" w:eastAsia="Times New Roman" w:cs="Times New Roman"/>
                <w:b/>
                <w:sz w:val="20"/>
                <w:szCs w:val="20"/>
              </w:rPr>
              <w:t>0.82</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c>
          <w:tcPr>
            <w:tcW w:w="121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chr1</w:t>
            </w:r>
          </w:p>
        </w:tc>
        <w:tc>
          <w:tcPr>
            <w:tcW w:w="221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142551550</w:t>
            </w:r>
          </w:p>
        </w:tc>
        <w:tc>
          <w:tcPr>
            <w:tcW w:w="225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143161000</w:t>
            </w:r>
          </w:p>
        </w:tc>
        <w:tc>
          <w:tcPr>
            <w:tcW w:w="16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9</w:t>
            </w:r>
          </w:p>
        </w:tc>
        <w:tc>
          <w:tcPr>
            <w:tcW w:w="2101"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b/>
                <w:sz w:val="18"/>
                <w:szCs w:val="18"/>
              </w:rPr>
            </w:pPr>
            <w:r>
              <w:rPr>
                <w:rFonts w:ascii="Times New Roman" w:hAnsi="Times New Roman" w:eastAsia="Times New Roman" w:cs="Times New Roman"/>
                <w:b/>
                <w:sz w:val="20"/>
                <w:szCs w:val="20"/>
              </w:rPr>
              <w:t>0.00</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c>
          <w:tcPr>
            <w:tcW w:w="121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chr1</w:t>
            </w:r>
          </w:p>
        </w:tc>
        <w:tc>
          <w:tcPr>
            <w:tcW w:w="221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143161001</w:t>
            </w:r>
          </w:p>
        </w:tc>
        <w:tc>
          <w:tcPr>
            <w:tcW w:w="225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153461900</w:t>
            </w:r>
          </w:p>
        </w:tc>
        <w:tc>
          <w:tcPr>
            <w:tcW w:w="16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260</w:t>
            </w:r>
          </w:p>
        </w:tc>
        <w:tc>
          <w:tcPr>
            <w:tcW w:w="2101"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b/>
                <w:sz w:val="18"/>
                <w:szCs w:val="18"/>
              </w:rPr>
            </w:pPr>
            <w:r>
              <w:rPr>
                <w:rFonts w:ascii="Times New Roman" w:hAnsi="Times New Roman" w:eastAsia="Times New Roman" w:cs="Times New Roman"/>
                <w:b/>
                <w:sz w:val="20"/>
                <w:szCs w:val="20"/>
              </w:rPr>
              <w:t>0.59</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c>
          <w:tcPr>
            <w:tcW w:w="121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chr1</w:t>
            </w:r>
          </w:p>
        </w:tc>
        <w:tc>
          <w:tcPr>
            <w:tcW w:w="221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153461901</w:t>
            </w:r>
          </w:p>
        </w:tc>
        <w:tc>
          <w:tcPr>
            <w:tcW w:w="225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225998400</w:t>
            </w:r>
          </w:p>
        </w:tc>
        <w:tc>
          <w:tcPr>
            <w:tcW w:w="16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2998</w:t>
            </w:r>
          </w:p>
        </w:tc>
        <w:tc>
          <w:tcPr>
            <w:tcW w:w="2101"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b/>
                <w:sz w:val="18"/>
                <w:szCs w:val="18"/>
              </w:rPr>
            </w:pPr>
            <w:r>
              <w:rPr>
                <w:rFonts w:ascii="Times New Roman" w:hAnsi="Times New Roman" w:eastAsia="Times New Roman" w:cs="Times New Roman"/>
                <w:b/>
                <w:sz w:val="20"/>
                <w:szCs w:val="20"/>
              </w:rPr>
              <w:t>0.96</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c>
          <w:tcPr>
            <w:tcW w:w="121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chr1</w:t>
            </w:r>
          </w:p>
        </w:tc>
        <w:tc>
          <w:tcPr>
            <w:tcW w:w="221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225998401</w:t>
            </w:r>
          </w:p>
        </w:tc>
        <w:tc>
          <w:tcPr>
            <w:tcW w:w="225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248956422</w:t>
            </w:r>
          </w:p>
        </w:tc>
        <w:tc>
          <w:tcPr>
            <w:tcW w:w="16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943</w:t>
            </w:r>
          </w:p>
        </w:tc>
        <w:tc>
          <w:tcPr>
            <w:tcW w:w="2101"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b/>
                <w:sz w:val="18"/>
                <w:szCs w:val="18"/>
              </w:rPr>
            </w:pPr>
            <w:r>
              <w:rPr>
                <w:rFonts w:ascii="Times New Roman" w:hAnsi="Times New Roman" w:eastAsia="Times New Roman" w:cs="Times New Roman"/>
                <w:b/>
                <w:sz w:val="20"/>
                <w:szCs w:val="20"/>
              </w:rPr>
              <w:t>0.57</w:t>
            </w:r>
          </w:p>
        </w:tc>
      </w:tr>
    </w:tbl>
    <w:p>
      <w:pPr>
        <w:pStyle w:val="5"/>
        <w:keepNext/>
        <w:keepLines/>
        <w:pageBreakBefore w:val="0"/>
        <w:widowControl/>
        <w:shd w:val="clear" w:fill="auto"/>
        <w:kinsoku/>
        <w:wordWrap/>
        <w:overflowPunct/>
        <w:topLinePunct w:val="0"/>
        <w:autoSpaceDE/>
        <w:autoSpaceDN/>
        <w:bidi w:val="0"/>
        <w:adjustRightInd/>
        <w:spacing w:before="0" w:after="0" w:line="480" w:lineRule="auto"/>
        <w:ind w:left="0" w:right="0" w:firstLine="0"/>
        <w:jc w:val="left"/>
        <w:textAlignment w:val="auto"/>
        <w:rPr>
          <w:rFonts w:ascii="Times New Roman" w:hAnsi="Times New Roman" w:eastAsia="Times New Roman" w:cs="Times New Roman"/>
          <w:b/>
          <w:color w:val="000000"/>
          <w:sz w:val="22"/>
          <w:szCs w:val="22"/>
        </w:rPr>
      </w:pPr>
      <w:bookmarkStart w:id="11" w:name="_usrirswwu5no"/>
      <w:bookmarkEnd w:id="11"/>
    </w:p>
    <w:p>
      <w:pPr>
        <w:pStyle w:val="5"/>
        <w:keepNext/>
        <w:keepLines/>
        <w:pageBreakBefore w:val="0"/>
        <w:widowControl/>
        <w:shd w:val="clear" w:fill="auto"/>
        <w:kinsoku/>
        <w:wordWrap/>
        <w:overflowPunct/>
        <w:topLinePunct w:val="0"/>
        <w:autoSpaceDE/>
        <w:autoSpaceDN/>
        <w:bidi w:val="0"/>
        <w:adjustRightInd/>
        <w:spacing w:before="0" w:after="0" w:line="480" w:lineRule="auto"/>
        <w:ind w:left="0" w:right="0" w:firstLine="0"/>
        <w:jc w:val="left"/>
        <w:textAlignment w:val="auto"/>
        <w:rPr>
          <w:rFonts w:ascii="Times New Roman" w:hAnsi="Times New Roman" w:eastAsia="Times New Roman" w:cs="Times New Roman"/>
          <w:b/>
          <w:color w:val="000000"/>
          <w:sz w:val="22"/>
          <w:szCs w:val="22"/>
        </w:rPr>
      </w:pPr>
      <w:r>
        <w:rPr>
          <w:rFonts w:ascii="Times New Roman" w:hAnsi="Times New Roman" w:eastAsia="Times New Roman" w:cs="Times New Roman"/>
          <w:b/>
          <w:color w:val="000000"/>
          <w:sz w:val="22"/>
          <w:szCs w:val="22"/>
        </w:rPr>
        <w:t>Copy number calling with SVDetect</w:t>
      </w: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r>
        <w:rPr>
          <w:rFonts w:ascii="Times New Roman" w:hAnsi="Times New Roman" w:eastAsia="Times New Roman" w:cs="Times New Roman"/>
        </w:rPr>
        <w:t>For SVDetect different bin sizes (400, 500, 1000, and 10000; each with an overlap of 10 or 250, and without overlap) were tested. Using a window of 400 bp with no overlap achieved the best results. The same chromosome lengths (entrypoints) as for ReadDepth were used.</w:t>
      </w:r>
    </w:p>
    <w:p>
      <w:pPr>
        <w:pStyle w:val="6"/>
        <w:keepNext/>
        <w:keepLines w:val="0"/>
        <w:pageBreakBefore w:val="0"/>
        <w:kinsoku/>
        <w:wordWrap/>
        <w:overflowPunct/>
        <w:topLinePunct w:val="0"/>
        <w:autoSpaceDE/>
        <w:autoSpaceDN/>
        <w:bidi w:val="0"/>
        <w:adjustRightInd/>
        <w:spacing w:before="0" w:after="0" w:line="480" w:lineRule="auto"/>
        <w:textAlignment w:val="auto"/>
        <w:rPr>
          <w:rFonts w:ascii="Times New Roman" w:hAnsi="Times New Roman" w:eastAsia="Times New Roman" w:cs="Times New Roman"/>
          <w:i/>
          <w:iCs/>
          <w:color w:val="000000"/>
          <w:sz w:val="22"/>
          <w:szCs w:val="22"/>
        </w:rPr>
      </w:pPr>
      <w:bookmarkStart w:id="12" w:name="_m47g2nk7w8bv"/>
      <w:bookmarkEnd w:id="12"/>
    </w:p>
    <w:p>
      <w:pPr>
        <w:pStyle w:val="6"/>
        <w:keepNext/>
        <w:keepLines w:val="0"/>
        <w:pageBreakBefore w:val="0"/>
        <w:kinsoku/>
        <w:wordWrap/>
        <w:overflowPunct/>
        <w:topLinePunct w:val="0"/>
        <w:autoSpaceDE/>
        <w:autoSpaceDN/>
        <w:bidi w:val="0"/>
        <w:adjustRightInd/>
        <w:spacing w:before="0" w:after="0" w:line="480" w:lineRule="auto"/>
        <w:textAlignment w:val="auto"/>
        <w:rPr>
          <w:rFonts w:ascii="Times New Roman" w:hAnsi="Times New Roman" w:eastAsia="Times New Roman" w:cs="Times New Roman"/>
          <w:i/>
          <w:iCs/>
          <w:color w:val="000000"/>
          <w:sz w:val="22"/>
          <w:szCs w:val="22"/>
        </w:rPr>
      </w:pPr>
      <w:r>
        <w:rPr>
          <w:rFonts w:ascii="Times New Roman" w:hAnsi="Times New Roman" w:eastAsia="Times New Roman" w:cs="Times New Roman"/>
          <w:i/>
          <w:iCs/>
          <w:color w:val="000000"/>
          <w:sz w:val="22"/>
          <w:szCs w:val="22"/>
        </w:rPr>
        <w:t xml:space="preserve">Gaps in SVDetect </w:t>
      </w: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r>
        <w:rPr>
          <w:rFonts w:ascii="Times New Roman" w:hAnsi="Times New Roman" w:eastAsia="Times New Roman" w:cs="Times New Roman"/>
        </w:rPr>
        <w:t>As in the ReadDepth result, some gaps might be caused by non-sequenced regions. Otherwise, SVDetect outputs the most gaps with a multiple length of the set bin size (400 bp). There is no obvious reason why SVDetect introduced these gaps; the coverage is sufficient. Rare gaps larger than 800 bp are regions which were probably not sequenced (no coverage in non-genetic regions with a visual check of the alignment).</w:t>
      </w: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b/>
        </w:rPr>
      </w:pP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r>
        <w:rPr>
          <w:rFonts w:ascii="Times New Roman" w:hAnsi="Times New Roman" w:eastAsia="Times New Roman" w:cs="Times New Roman"/>
          <w:b/>
        </w:rPr>
        <w:t>Table S12.</w:t>
      </w:r>
      <w:r>
        <w:rPr>
          <w:rFonts w:ascii="Times New Roman" w:hAnsi="Times New Roman" w:eastAsia="Times New Roman" w:cs="Times New Roman"/>
          <w:b w:val="0"/>
          <w:bCs/>
        </w:rPr>
        <w:t xml:space="preserve"> Top 20 rows of SVDetect output for SKBR3 single cell 1 (1x coverage). </w:t>
      </w:r>
      <w:r>
        <w:rPr>
          <w:rFonts w:ascii="Times New Roman" w:hAnsi="Times New Roman" w:eastAsia="Times New Roman" w:cs="Times New Roman"/>
        </w:rPr>
        <w:t>Bold column names were used as MetaCNV input for copy number calculation.</w:t>
      </w:r>
    </w:p>
    <w:tbl>
      <w:tblPr>
        <w:tblStyle w:val="17"/>
        <w:tblW w:w="9284" w:type="dxa"/>
        <w:tblInd w:w="-36" w:type="dxa"/>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
      <w:tblGrid>
        <w:gridCol w:w="509"/>
        <w:gridCol w:w="1201"/>
        <w:gridCol w:w="1395"/>
        <w:gridCol w:w="2220"/>
        <w:gridCol w:w="2386"/>
        <w:gridCol w:w="1573"/>
      </w:tblGrid>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c>
          <w:tcPr>
            <w:tcW w:w="50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Chr</w:t>
            </w:r>
          </w:p>
        </w:tc>
        <w:tc>
          <w:tcPr>
            <w:tcW w:w="1201"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Segment start coordinate</w:t>
            </w:r>
          </w:p>
        </w:tc>
        <w:tc>
          <w:tcPr>
            <w:tcW w:w="139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Segment end coordinate</w:t>
            </w:r>
          </w:p>
        </w:tc>
        <w:tc>
          <w:tcPr>
            <w:tcW w:w="22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Average depth-of-coverage from the sample paired-end data</w:t>
            </w:r>
          </w:p>
        </w:tc>
        <w:tc>
          <w:tcPr>
            <w:tcW w:w="2386"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Average depth-of-coverage from the reference paired-end data</w:t>
            </w:r>
          </w:p>
        </w:tc>
        <w:tc>
          <w:tcPr>
            <w:tcW w:w="1573"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center"/>
              <w:textAlignment w:val="auto"/>
              <w:rPr>
                <w:rFonts w:ascii="Times New Roman" w:hAnsi="Times New Roman" w:eastAsia="Times New Roman" w:cs="Times New Roman"/>
                <w:b/>
                <w:sz w:val="18"/>
                <w:szCs w:val="18"/>
              </w:rPr>
            </w:pPr>
            <w:r>
              <w:rPr>
                <w:rFonts w:ascii="Times New Roman" w:hAnsi="Times New Roman" w:eastAsia="Times New Roman" w:cs="Times New Roman"/>
                <w:b/>
                <w:sz w:val="20"/>
                <w:szCs w:val="20"/>
              </w:rPr>
              <w:t>Log-ratio of 4. and 5. values</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c>
          <w:tcPr>
            <w:tcW w:w="50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center"/>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w:t>
            </w:r>
          </w:p>
        </w:tc>
        <w:tc>
          <w:tcPr>
            <w:tcW w:w="1201"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12801</w:t>
            </w:r>
          </w:p>
        </w:tc>
        <w:tc>
          <w:tcPr>
            <w:tcW w:w="139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13200</w:t>
            </w:r>
          </w:p>
        </w:tc>
        <w:tc>
          <w:tcPr>
            <w:tcW w:w="22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w:t>
            </w:r>
          </w:p>
        </w:tc>
        <w:tc>
          <w:tcPr>
            <w:tcW w:w="2386"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0</w:t>
            </w:r>
          </w:p>
        </w:tc>
        <w:tc>
          <w:tcPr>
            <w:tcW w:w="1573"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b/>
                <w:sz w:val="18"/>
                <w:szCs w:val="18"/>
              </w:rPr>
            </w:pPr>
            <w:r>
              <w:rPr>
                <w:rFonts w:ascii="Times New Roman" w:hAnsi="Times New Roman" w:eastAsia="Times New Roman" w:cs="Times New Roman"/>
                <w:b/>
                <w:sz w:val="20"/>
                <w:szCs w:val="20"/>
              </w:rPr>
              <w:t>0.69</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c>
          <w:tcPr>
            <w:tcW w:w="50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center"/>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w:t>
            </w:r>
          </w:p>
        </w:tc>
        <w:tc>
          <w:tcPr>
            <w:tcW w:w="1201"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13201</w:t>
            </w:r>
          </w:p>
        </w:tc>
        <w:tc>
          <w:tcPr>
            <w:tcW w:w="139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13600</w:t>
            </w:r>
          </w:p>
        </w:tc>
        <w:tc>
          <w:tcPr>
            <w:tcW w:w="22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2</w:t>
            </w:r>
          </w:p>
        </w:tc>
        <w:tc>
          <w:tcPr>
            <w:tcW w:w="2386"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0</w:t>
            </w:r>
          </w:p>
        </w:tc>
        <w:tc>
          <w:tcPr>
            <w:tcW w:w="1573"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b/>
                <w:sz w:val="18"/>
                <w:szCs w:val="18"/>
              </w:rPr>
            </w:pPr>
            <w:r>
              <w:rPr>
                <w:rFonts w:ascii="Times New Roman" w:hAnsi="Times New Roman" w:eastAsia="Times New Roman" w:cs="Times New Roman"/>
                <w:b/>
                <w:sz w:val="20"/>
                <w:szCs w:val="20"/>
              </w:rPr>
              <w:t>1.09</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PrEx>
        <w:tc>
          <w:tcPr>
            <w:tcW w:w="50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center"/>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w:t>
            </w:r>
          </w:p>
        </w:tc>
        <w:tc>
          <w:tcPr>
            <w:tcW w:w="1201"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13601</w:t>
            </w:r>
          </w:p>
        </w:tc>
        <w:tc>
          <w:tcPr>
            <w:tcW w:w="139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14000</w:t>
            </w:r>
          </w:p>
        </w:tc>
        <w:tc>
          <w:tcPr>
            <w:tcW w:w="22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w:t>
            </w:r>
          </w:p>
        </w:tc>
        <w:tc>
          <w:tcPr>
            <w:tcW w:w="2386"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0</w:t>
            </w:r>
          </w:p>
        </w:tc>
        <w:tc>
          <w:tcPr>
            <w:tcW w:w="1573"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b/>
                <w:sz w:val="18"/>
                <w:szCs w:val="18"/>
              </w:rPr>
            </w:pPr>
            <w:r>
              <w:rPr>
                <w:rFonts w:ascii="Times New Roman" w:hAnsi="Times New Roman" w:eastAsia="Times New Roman" w:cs="Times New Roman"/>
                <w:b/>
                <w:sz w:val="20"/>
                <w:szCs w:val="20"/>
              </w:rPr>
              <w:t>0.69</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c>
          <w:tcPr>
            <w:tcW w:w="50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center"/>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w:t>
            </w:r>
          </w:p>
        </w:tc>
        <w:tc>
          <w:tcPr>
            <w:tcW w:w="1201"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14801</w:t>
            </w:r>
          </w:p>
        </w:tc>
        <w:tc>
          <w:tcPr>
            <w:tcW w:w="139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15200</w:t>
            </w:r>
          </w:p>
        </w:tc>
        <w:tc>
          <w:tcPr>
            <w:tcW w:w="22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3</w:t>
            </w:r>
          </w:p>
        </w:tc>
        <w:tc>
          <w:tcPr>
            <w:tcW w:w="2386"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0</w:t>
            </w:r>
          </w:p>
        </w:tc>
        <w:tc>
          <w:tcPr>
            <w:tcW w:w="1573"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b/>
                <w:sz w:val="18"/>
                <w:szCs w:val="18"/>
              </w:rPr>
            </w:pPr>
            <w:r>
              <w:rPr>
                <w:rFonts w:ascii="Times New Roman" w:hAnsi="Times New Roman" w:eastAsia="Times New Roman" w:cs="Times New Roman"/>
                <w:b/>
                <w:sz w:val="20"/>
                <w:szCs w:val="20"/>
              </w:rPr>
              <w:t>1.38</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c>
          <w:tcPr>
            <w:tcW w:w="50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center"/>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w:t>
            </w:r>
          </w:p>
        </w:tc>
        <w:tc>
          <w:tcPr>
            <w:tcW w:w="1201"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15201</w:t>
            </w:r>
          </w:p>
        </w:tc>
        <w:tc>
          <w:tcPr>
            <w:tcW w:w="139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15600</w:t>
            </w:r>
          </w:p>
        </w:tc>
        <w:tc>
          <w:tcPr>
            <w:tcW w:w="22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3</w:t>
            </w:r>
          </w:p>
        </w:tc>
        <w:tc>
          <w:tcPr>
            <w:tcW w:w="2386"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0</w:t>
            </w:r>
          </w:p>
        </w:tc>
        <w:tc>
          <w:tcPr>
            <w:tcW w:w="1573"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b/>
                <w:sz w:val="18"/>
                <w:szCs w:val="18"/>
              </w:rPr>
            </w:pPr>
            <w:r>
              <w:rPr>
                <w:rFonts w:ascii="Times New Roman" w:hAnsi="Times New Roman" w:eastAsia="Times New Roman" w:cs="Times New Roman"/>
                <w:b/>
                <w:sz w:val="20"/>
                <w:szCs w:val="20"/>
              </w:rPr>
              <w:t>1.38</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c>
          <w:tcPr>
            <w:tcW w:w="50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center"/>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w:t>
            </w:r>
          </w:p>
        </w:tc>
        <w:tc>
          <w:tcPr>
            <w:tcW w:w="1201"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16001</w:t>
            </w:r>
          </w:p>
        </w:tc>
        <w:tc>
          <w:tcPr>
            <w:tcW w:w="139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16400</w:t>
            </w:r>
          </w:p>
        </w:tc>
        <w:tc>
          <w:tcPr>
            <w:tcW w:w="22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32</w:t>
            </w:r>
          </w:p>
        </w:tc>
        <w:tc>
          <w:tcPr>
            <w:tcW w:w="2386"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0</w:t>
            </w:r>
          </w:p>
        </w:tc>
        <w:tc>
          <w:tcPr>
            <w:tcW w:w="1573"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b/>
                <w:sz w:val="18"/>
                <w:szCs w:val="18"/>
              </w:rPr>
            </w:pPr>
            <w:r>
              <w:rPr>
                <w:rFonts w:ascii="Times New Roman" w:hAnsi="Times New Roman" w:eastAsia="Times New Roman" w:cs="Times New Roman"/>
                <w:b/>
                <w:sz w:val="20"/>
                <w:szCs w:val="20"/>
              </w:rPr>
              <w:t>3.49</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PrEx>
        <w:tc>
          <w:tcPr>
            <w:tcW w:w="50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center"/>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w:t>
            </w:r>
          </w:p>
        </w:tc>
        <w:tc>
          <w:tcPr>
            <w:tcW w:w="1201"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16401</w:t>
            </w:r>
          </w:p>
        </w:tc>
        <w:tc>
          <w:tcPr>
            <w:tcW w:w="139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16800</w:t>
            </w:r>
          </w:p>
        </w:tc>
        <w:tc>
          <w:tcPr>
            <w:tcW w:w="22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43</w:t>
            </w:r>
          </w:p>
        </w:tc>
        <w:tc>
          <w:tcPr>
            <w:tcW w:w="2386"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0</w:t>
            </w:r>
          </w:p>
        </w:tc>
        <w:tc>
          <w:tcPr>
            <w:tcW w:w="1573"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b/>
                <w:sz w:val="18"/>
                <w:szCs w:val="18"/>
              </w:rPr>
            </w:pPr>
            <w:r>
              <w:rPr>
                <w:rFonts w:ascii="Times New Roman" w:hAnsi="Times New Roman" w:eastAsia="Times New Roman" w:cs="Times New Roman"/>
                <w:b/>
                <w:sz w:val="20"/>
                <w:szCs w:val="20"/>
              </w:rPr>
              <w:t>3.78</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c>
          <w:tcPr>
            <w:tcW w:w="50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center"/>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w:t>
            </w:r>
          </w:p>
        </w:tc>
        <w:tc>
          <w:tcPr>
            <w:tcW w:w="1201"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16801</w:t>
            </w:r>
          </w:p>
        </w:tc>
        <w:tc>
          <w:tcPr>
            <w:tcW w:w="139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17200</w:t>
            </w:r>
          </w:p>
        </w:tc>
        <w:tc>
          <w:tcPr>
            <w:tcW w:w="22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84</w:t>
            </w:r>
          </w:p>
        </w:tc>
        <w:tc>
          <w:tcPr>
            <w:tcW w:w="2386"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0</w:t>
            </w:r>
          </w:p>
        </w:tc>
        <w:tc>
          <w:tcPr>
            <w:tcW w:w="1573"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b/>
                <w:sz w:val="18"/>
                <w:szCs w:val="18"/>
              </w:rPr>
            </w:pPr>
            <w:r>
              <w:rPr>
                <w:rFonts w:ascii="Times New Roman" w:hAnsi="Times New Roman" w:eastAsia="Times New Roman" w:cs="Times New Roman"/>
                <w:b/>
                <w:sz w:val="20"/>
                <w:szCs w:val="20"/>
              </w:rPr>
              <w:t>4.44</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c>
          <w:tcPr>
            <w:tcW w:w="50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center"/>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w:t>
            </w:r>
          </w:p>
        </w:tc>
        <w:tc>
          <w:tcPr>
            <w:tcW w:w="1201"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17201</w:t>
            </w:r>
          </w:p>
        </w:tc>
        <w:tc>
          <w:tcPr>
            <w:tcW w:w="139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17600</w:t>
            </w:r>
          </w:p>
        </w:tc>
        <w:tc>
          <w:tcPr>
            <w:tcW w:w="22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116</w:t>
            </w:r>
          </w:p>
        </w:tc>
        <w:tc>
          <w:tcPr>
            <w:tcW w:w="2386"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0</w:t>
            </w:r>
          </w:p>
        </w:tc>
        <w:tc>
          <w:tcPr>
            <w:tcW w:w="1573"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b/>
                <w:sz w:val="18"/>
                <w:szCs w:val="18"/>
              </w:rPr>
            </w:pPr>
            <w:r>
              <w:rPr>
                <w:rFonts w:ascii="Times New Roman" w:hAnsi="Times New Roman" w:eastAsia="Times New Roman" w:cs="Times New Roman"/>
                <w:b/>
                <w:sz w:val="20"/>
                <w:szCs w:val="20"/>
              </w:rPr>
              <w:t>4.76</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c>
          <w:tcPr>
            <w:tcW w:w="50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center"/>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w:t>
            </w:r>
          </w:p>
        </w:tc>
        <w:tc>
          <w:tcPr>
            <w:tcW w:w="1201"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17601</w:t>
            </w:r>
          </w:p>
        </w:tc>
        <w:tc>
          <w:tcPr>
            <w:tcW w:w="139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18000</w:t>
            </w:r>
          </w:p>
        </w:tc>
        <w:tc>
          <w:tcPr>
            <w:tcW w:w="22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18</w:t>
            </w:r>
          </w:p>
        </w:tc>
        <w:tc>
          <w:tcPr>
            <w:tcW w:w="2386"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0</w:t>
            </w:r>
          </w:p>
        </w:tc>
        <w:tc>
          <w:tcPr>
            <w:tcW w:w="1573"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b/>
                <w:sz w:val="18"/>
                <w:szCs w:val="18"/>
              </w:rPr>
            </w:pPr>
            <w:r>
              <w:rPr>
                <w:rFonts w:ascii="Times New Roman" w:hAnsi="Times New Roman" w:eastAsia="Times New Roman" w:cs="Times New Roman"/>
                <w:b/>
                <w:sz w:val="20"/>
                <w:szCs w:val="20"/>
              </w:rPr>
              <w:t>2.94</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PrEx>
        <w:tc>
          <w:tcPr>
            <w:tcW w:w="50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center"/>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w:t>
            </w:r>
          </w:p>
        </w:tc>
        <w:tc>
          <w:tcPr>
            <w:tcW w:w="1201"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18001</w:t>
            </w:r>
          </w:p>
        </w:tc>
        <w:tc>
          <w:tcPr>
            <w:tcW w:w="139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18400</w:t>
            </w:r>
          </w:p>
        </w:tc>
        <w:tc>
          <w:tcPr>
            <w:tcW w:w="22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8</w:t>
            </w:r>
          </w:p>
        </w:tc>
        <w:tc>
          <w:tcPr>
            <w:tcW w:w="2386"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0</w:t>
            </w:r>
          </w:p>
        </w:tc>
        <w:tc>
          <w:tcPr>
            <w:tcW w:w="1573"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b/>
                <w:sz w:val="18"/>
                <w:szCs w:val="18"/>
              </w:rPr>
            </w:pPr>
            <w:r>
              <w:rPr>
                <w:rFonts w:ascii="Times New Roman" w:hAnsi="Times New Roman" w:eastAsia="Times New Roman" w:cs="Times New Roman"/>
                <w:b/>
                <w:sz w:val="20"/>
                <w:szCs w:val="20"/>
              </w:rPr>
              <w:t>2.19</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c>
          <w:tcPr>
            <w:tcW w:w="50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center"/>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w:t>
            </w:r>
          </w:p>
        </w:tc>
        <w:tc>
          <w:tcPr>
            <w:tcW w:w="1201"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18401</w:t>
            </w:r>
          </w:p>
        </w:tc>
        <w:tc>
          <w:tcPr>
            <w:tcW w:w="139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18800</w:t>
            </w:r>
          </w:p>
        </w:tc>
        <w:tc>
          <w:tcPr>
            <w:tcW w:w="22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10</w:t>
            </w:r>
          </w:p>
        </w:tc>
        <w:tc>
          <w:tcPr>
            <w:tcW w:w="2386"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0</w:t>
            </w:r>
          </w:p>
        </w:tc>
        <w:tc>
          <w:tcPr>
            <w:tcW w:w="1573"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b/>
                <w:sz w:val="18"/>
                <w:szCs w:val="18"/>
              </w:rPr>
            </w:pPr>
            <w:r>
              <w:rPr>
                <w:rFonts w:ascii="Times New Roman" w:hAnsi="Times New Roman" w:eastAsia="Times New Roman" w:cs="Times New Roman"/>
                <w:b/>
                <w:sz w:val="20"/>
                <w:szCs w:val="20"/>
              </w:rPr>
              <w:t>2.39</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c>
          <w:tcPr>
            <w:tcW w:w="50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center"/>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w:t>
            </w:r>
          </w:p>
        </w:tc>
        <w:tc>
          <w:tcPr>
            <w:tcW w:w="1201"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18801</w:t>
            </w:r>
          </w:p>
        </w:tc>
        <w:tc>
          <w:tcPr>
            <w:tcW w:w="139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19200</w:t>
            </w:r>
          </w:p>
        </w:tc>
        <w:tc>
          <w:tcPr>
            <w:tcW w:w="22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3</w:t>
            </w:r>
          </w:p>
        </w:tc>
        <w:tc>
          <w:tcPr>
            <w:tcW w:w="2386"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0</w:t>
            </w:r>
          </w:p>
        </w:tc>
        <w:tc>
          <w:tcPr>
            <w:tcW w:w="1573"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b/>
                <w:sz w:val="18"/>
                <w:szCs w:val="18"/>
              </w:rPr>
            </w:pPr>
            <w:r>
              <w:rPr>
                <w:rFonts w:ascii="Times New Roman" w:hAnsi="Times New Roman" w:eastAsia="Times New Roman" w:cs="Times New Roman"/>
                <w:b/>
                <w:sz w:val="20"/>
                <w:szCs w:val="20"/>
              </w:rPr>
              <w:t>1.38</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c>
          <w:tcPr>
            <w:tcW w:w="50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center"/>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w:t>
            </w:r>
          </w:p>
        </w:tc>
        <w:tc>
          <w:tcPr>
            <w:tcW w:w="1201"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19201</w:t>
            </w:r>
          </w:p>
        </w:tc>
        <w:tc>
          <w:tcPr>
            <w:tcW w:w="139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19600</w:t>
            </w:r>
          </w:p>
        </w:tc>
        <w:tc>
          <w:tcPr>
            <w:tcW w:w="22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86</w:t>
            </w:r>
          </w:p>
        </w:tc>
        <w:tc>
          <w:tcPr>
            <w:tcW w:w="2386"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0</w:t>
            </w:r>
          </w:p>
        </w:tc>
        <w:tc>
          <w:tcPr>
            <w:tcW w:w="1573"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b/>
                <w:sz w:val="18"/>
                <w:szCs w:val="18"/>
              </w:rPr>
            </w:pPr>
            <w:r>
              <w:rPr>
                <w:rFonts w:ascii="Times New Roman" w:hAnsi="Times New Roman" w:eastAsia="Times New Roman" w:cs="Times New Roman"/>
                <w:b/>
                <w:sz w:val="20"/>
                <w:szCs w:val="20"/>
              </w:rPr>
              <w:t>4.46</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PrEx>
        <w:tc>
          <w:tcPr>
            <w:tcW w:w="50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center"/>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w:t>
            </w:r>
          </w:p>
        </w:tc>
        <w:tc>
          <w:tcPr>
            <w:tcW w:w="1201"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19601</w:t>
            </w:r>
          </w:p>
        </w:tc>
        <w:tc>
          <w:tcPr>
            <w:tcW w:w="139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20000</w:t>
            </w:r>
          </w:p>
        </w:tc>
        <w:tc>
          <w:tcPr>
            <w:tcW w:w="22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91</w:t>
            </w:r>
          </w:p>
        </w:tc>
        <w:tc>
          <w:tcPr>
            <w:tcW w:w="2386"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0</w:t>
            </w:r>
          </w:p>
        </w:tc>
        <w:tc>
          <w:tcPr>
            <w:tcW w:w="1573"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b/>
                <w:sz w:val="18"/>
                <w:szCs w:val="18"/>
              </w:rPr>
            </w:pPr>
            <w:r>
              <w:rPr>
                <w:rFonts w:ascii="Times New Roman" w:hAnsi="Times New Roman" w:eastAsia="Times New Roman" w:cs="Times New Roman"/>
                <w:b/>
                <w:sz w:val="20"/>
                <w:szCs w:val="20"/>
              </w:rPr>
              <w:t>4.52</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c>
          <w:tcPr>
            <w:tcW w:w="50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center"/>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w:t>
            </w:r>
          </w:p>
        </w:tc>
        <w:tc>
          <w:tcPr>
            <w:tcW w:w="1201"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20001</w:t>
            </w:r>
          </w:p>
        </w:tc>
        <w:tc>
          <w:tcPr>
            <w:tcW w:w="139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20400</w:t>
            </w:r>
          </w:p>
        </w:tc>
        <w:tc>
          <w:tcPr>
            <w:tcW w:w="22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120</w:t>
            </w:r>
          </w:p>
        </w:tc>
        <w:tc>
          <w:tcPr>
            <w:tcW w:w="2386"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20"/>
                <w:szCs w:val="20"/>
              </w:rPr>
              <w:t>0</w:t>
            </w:r>
          </w:p>
        </w:tc>
        <w:tc>
          <w:tcPr>
            <w:tcW w:w="1573"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b/>
                <w:sz w:val="18"/>
                <w:szCs w:val="18"/>
              </w:rPr>
            </w:pPr>
            <w:r>
              <w:rPr>
                <w:rFonts w:ascii="Times New Roman" w:hAnsi="Times New Roman" w:eastAsia="Times New Roman" w:cs="Times New Roman"/>
                <w:b/>
                <w:sz w:val="20"/>
                <w:szCs w:val="20"/>
              </w:rPr>
              <w:t>4.79</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c>
          <w:tcPr>
            <w:tcW w:w="50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center"/>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w:t>
            </w:r>
          </w:p>
        </w:tc>
        <w:tc>
          <w:tcPr>
            <w:tcW w:w="1201"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20401</w:t>
            </w:r>
          </w:p>
        </w:tc>
        <w:tc>
          <w:tcPr>
            <w:tcW w:w="139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20800</w:t>
            </w:r>
          </w:p>
        </w:tc>
        <w:tc>
          <w:tcPr>
            <w:tcW w:w="22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355</w:t>
            </w:r>
          </w:p>
        </w:tc>
        <w:tc>
          <w:tcPr>
            <w:tcW w:w="2386"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0</w:t>
            </w:r>
          </w:p>
        </w:tc>
        <w:tc>
          <w:tcPr>
            <w:tcW w:w="1573"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b/>
                <w:sz w:val="18"/>
                <w:szCs w:val="18"/>
              </w:rPr>
            </w:pPr>
            <w:r>
              <w:rPr>
                <w:rFonts w:ascii="Times New Roman" w:hAnsi="Times New Roman" w:eastAsia="Times New Roman" w:cs="Times New Roman"/>
                <w:b/>
                <w:sz w:val="18"/>
                <w:szCs w:val="18"/>
              </w:rPr>
              <w:t>5.87</w:t>
            </w:r>
          </w:p>
        </w:tc>
      </w:tr>
    </w:tbl>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p>
    <w:p>
      <w:pPr>
        <w:pStyle w:val="5"/>
        <w:keepNext/>
        <w:keepLines/>
        <w:pageBreakBefore w:val="0"/>
        <w:widowControl/>
        <w:shd w:val="clear" w:fill="auto"/>
        <w:kinsoku/>
        <w:wordWrap/>
        <w:overflowPunct/>
        <w:topLinePunct w:val="0"/>
        <w:autoSpaceDE/>
        <w:autoSpaceDN/>
        <w:bidi w:val="0"/>
        <w:adjustRightInd/>
        <w:spacing w:before="0" w:after="0" w:line="480" w:lineRule="auto"/>
        <w:ind w:left="0" w:right="0" w:firstLine="0"/>
        <w:jc w:val="left"/>
        <w:textAlignment w:val="auto"/>
        <w:rPr>
          <w:rFonts w:ascii="Times New Roman" w:hAnsi="Times New Roman" w:eastAsia="Times New Roman" w:cs="Times New Roman"/>
          <w:b/>
          <w:color w:val="000000"/>
          <w:sz w:val="22"/>
          <w:szCs w:val="22"/>
        </w:rPr>
      </w:pPr>
      <w:bookmarkStart w:id="13" w:name="_ix4pj9rpber0"/>
      <w:bookmarkEnd w:id="13"/>
      <w:r>
        <w:rPr>
          <w:rFonts w:ascii="Times New Roman" w:hAnsi="Times New Roman" w:eastAsia="Times New Roman" w:cs="Times New Roman"/>
          <w:b/>
          <w:color w:val="000000"/>
          <w:sz w:val="22"/>
          <w:szCs w:val="22"/>
        </w:rPr>
        <w:t>Copy number calling with CNVnator</w:t>
      </w: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r>
        <w:rPr>
          <w:rFonts w:ascii="Times New Roman" w:hAnsi="Times New Roman" w:eastAsia="Times New Roman" w:cs="Times New Roman"/>
        </w:rPr>
        <w:t>CNVnator was run in five steps (creating root file, making histogram, calculating statistics, partitioning, and identifying CNVs) according to the CNVnator recommendations. Bin size was set to 400 as this bin size was also chosen for SVDetect.</w:t>
      </w: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b/>
        </w:rPr>
      </w:pP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r>
        <w:rPr>
          <w:rFonts w:ascii="Times New Roman" w:hAnsi="Times New Roman" w:eastAsia="Times New Roman" w:cs="Times New Roman"/>
          <w:b/>
        </w:rPr>
        <w:t>Table S13.</w:t>
      </w:r>
      <w:r>
        <w:rPr>
          <w:rFonts w:ascii="Times New Roman" w:hAnsi="Times New Roman" w:eastAsia="Times New Roman" w:cs="Times New Roman"/>
          <w:b w:val="0"/>
          <w:bCs/>
        </w:rPr>
        <w:t xml:space="preserve"> First lines of CNVnator output for SKBR3 single cell 1 (1x coverage). </w:t>
      </w:r>
      <w:r>
        <w:rPr>
          <w:rFonts w:ascii="Times New Roman" w:hAnsi="Times New Roman" w:eastAsia="Times New Roman" w:cs="Times New Roman"/>
        </w:rPr>
        <w:t xml:space="preserve">Bold column names were used as MetaCNV input for copy number calculation. The content of column “Copy number (normalised to 1)” is not reliable because it contradicts with the column “Copy number type”. </w:t>
      </w:r>
    </w:p>
    <w:tbl>
      <w:tblPr>
        <w:tblStyle w:val="17"/>
        <w:tblW w:w="9809" w:type="dxa"/>
        <w:tblInd w:w="-43" w:type="dxa"/>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
      <w:tblGrid>
        <w:gridCol w:w="1020"/>
        <w:gridCol w:w="1635"/>
        <w:gridCol w:w="885"/>
        <w:gridCol w:w="959"/>
        <w:gridCol w:w="1140"/>
        <w:gridCol w:w="1230"/>
        <w:gridCol w:w="1140"/>
        <w:gridCol w:w="1276"/>
        <w:gridCol w:w="524"/>
      </w:tblGrid>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rPr>
          <w:cantSplit/>
          <w:trHeight w:val="0" w:hRule="atLeast"/>
        </w:trPr>
        <w:tc>
          <w:tcPr>
            <w:tcW w:w="10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b/>
                <w:sz w:val="18"/>
                <w:szCs w:val="18"/>
              </w:rPr>
            </w:pPr>
            <w:r>
              <w:rPr>
                <w:rFonts w:ascii="Times New Roman" w:hAnsi="Times New Roman" w:eastAsia="Times New Roman" w:cs="Times New Roman"/>
                <w:b/>
                <w:sz w:val="18"/>
                <w:szCs w:val="18"/>
              </w:rPr>
              <w:t>Copy number type</w:t>
            </w:r>
          </w:p>
        </w:tc>
        <w:tc>
          <w:tcPr>
            <w:tcW w:w="163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Chr:</w:t>
            </w:r>
          </w:p>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 xml:space="preserve">segment start- segment end </w:t>
            </w:r>
          </w:p>
        </w:tc>
        <w:tc>
          <w:tcPr>
            <w:tcW w:w="88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Segment length</w:t>
            </w:r>
          </w:p>
        </w:tc>
        <w:tc>
          <w:tcPr>
            <w:tcW w:w="95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Copy number (normalised to 1)</w:t>
            </w:r>
          </w:p>
        </w:tc>
        <w:tc>
          <w:tcPr>
            <w:tcW w:w="114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 xml:space="preserve">p-val1 </w:t>
            </w:r>
          </w:p>
        </w:tc>
        <w:tc>
          <w:tcPr>
            <w:tcW w:w="123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p-val2</w:t>
            </w:r>
          </w:p>
        </w:tc>
        <w:tc>
          <w:tcPr>
            <w:tcW w:w="114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p-val3</w:t>
            </w:r>
          </w:p>
        </w:tc>
        <w:tc>
          <w:tcPr>
            <w:tcW w:w="1276"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p-val3</w:t>
            </w:r>
          </w:p>
        </w:tc>
        <w:tc>
          <w:tcPr>
            <w:tcW w:w="524"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q0</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rPr>
          <w:cantSplit/>
          <w:trHeight w:val="0" w:hRule="atLeast"/>
        </w:trPr>
        <w:tc>
          <w:tcPr>
            <w:tcW w:w="10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b/>
                <w:sz w:val="18"/>
                <w:szCs w:val="18"/>
              </w:rPr>
            </w:pPr>
            <w:r>
              <w:rPr>
                <w:rFonts w:ascii="Times New Roman" w:hAnsi="Times New Roman" w:eastAsia="Times New Roman" w:cs="Times New Roman"/>
                <w:b/>
                <w:sz w:val="18"/>
                <w:szCs w:val="18"/>
              </w:rPr>
              <w:t>deletion</w:t>
            </w:r>
          </w:p>
        </w:tc>
        <w:tc>
          <w:tcPr>
            <w:tcW w:w="163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1:1-13200</w:t>
            </w:r>
          </w:p>
        </w:tc>
        <w:tc>
          <w:tcPr>
            <w:tcW w:w="88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13200</w:t>
            </w:r>
          </w:p>
        </w:tc>
        <w:tc>
          <w:tcPr>
            <w:tcW w:w="95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0.08</w:t>
            </w:r>
          </w:p>
        </w:tc>
        <w:tc>
          <w:tcPr>
            <w:tcW w:w="114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1.56958E-10</w:t>
            </w:r>
          </w:p>
        </w:tc>
        <w:tc>
          <w:tcPr>
            <w:tcW w:w="123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723515</w:t>
            </w:r>
          </w:p>
        </w:tc>
        <w:tc>
          <w:tcPr>
            <w:tcW w:w="114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1.20857E-08</w:t>
            </w:r>
          </w:p>
        </w:tc>
        <w:tc>
          <w:tcPr>
            <w:tcW w:w="1276"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3263890</w:t>
            </w:r>
          </w:p>
        </w:tc>
        <w:tc>
          <w:tcPr>
            <w:tcW w:w="524"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rPr>
          <w:cantSplit/>
          <w:trHeight w:val="0" w:hRule="atLeast"/>
        </w:trPr>
        <w:tc>
          <w:tcPr>
            <w:tcW w:w="10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b/>
                <w:sz w:val="18"/>
                <w:szCs w:val="18"/>
              </w:rPr>
            </w:pPr>
            <w:r>
              <w:rPr>
                <w:rFonts w:ascii="Times New Roman" w:hAnsi="Times New Roman" w:eastAsia="Times New Roman" w:cs="Times New Roman"/>
                <w:b/>
                <w:sz w:val="18"/>
                <w:szCs w:val="18"/>
              </w:rPr>
              <w:t>deletion</w:t>
            </w:r>
          </w:p>
        </w:tc>
        <w:tc>
          <w:tcPr>
            <w:tcW w:w="163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1:208001-259200</w:t>
            </w:r>
          </w:p>
        </w:tc>
        <w:tc>
          <w:tcPr>
            <w:tcW w:w="88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51200</w:t>
            </w:r>
          </w:p>
        </w:tc>
        <w:tc>
          <w:tcPr>
            <w:tcW w:w="95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0.04</w:t>
            </w:r>
          </w:p>
        </w:tc>
        <w:tc>
          <w:tcPr>
            <w:tcW w:w="114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3.11274E-12</w:t>
            </w:r>
          </w:p>
        </w:tc>
        <w:tc>
          <w:tcPr>
            <w:tcW w:w="123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2859680000</w:t>
            </w:r>
          </w:p>
        </w:tc>
        <w:tc>
          <w:tcPr>
            <w:tcW w:w="114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680.958</w:t>
            </w:r>
          </w:p>
        </w:tc>
        <w:tc>
          <w:tcPr>
            <w:tcW w:w="1276"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1.0375E-84</w:t>
            </w:r>
          </w:p>
        </w:tc>
        <w:tc>
          <w:tcPr>
            <w:tcW w:w="524"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rPr>
          <w:cantSplit/>
          <w:trHeight w:val="0" w:hRule="atLeast"/>
        </w:trPr>
        <w:tc>
          <w:tcPr>
            <w:tcW w:w="10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b/>
                <w:sz w:val="18"/>
                <w:szCs w:val="18"/>
              </w:rPr>
            </w:pPr>
            <w:r>
              <w:rPr>
                <w:rFonts w:ascii="Times New Roman" w:hAnsi="Times New Roman" w:eastAsia="Times New Roman" w:cs="Times New Roman"/>
                <w:b/>
                <w:sz w:val="18"/>
                <w:szCs w:val="18"/>
              </w:rPr>
              <w:t>deletion</w:t>
            </w:r>
          </w:p>
        </w:tc>
        <w:tc>
          <w:tcPr>
            <w:tcW w:w="163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1:293201-350000</w:t>
            </w:r>
          </w:p>
        </w:tc>
        <w:tc>
          <w:tcPr>
            <w:tcW w:w="88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56800</w:t>
            </w:r>
          </w:p>
        </w:tc>
        <w:tc>
          <w:tcPr>
            <w:tcW w:w="95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0.00</w:t>
            </w:r>
          </w:p>
        </w:tc>
        <w:tc>
          <w:tcPr>
            <w:tcW w:w="114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360.246</w:t>
            </w:r>
          </w:p>
        </w:tc>
        <w:tc>
          <w:tcPr>
            <w:tcW w:w="123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4.98447E-100</w:t>
            </w:r>
          </w:p>
        </w:tc>
        <w:tc>
          <w:tcPr>
            <w:tcW w:w="114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434.693</w:t>
            </w:r>
          </w:p>
        </w:tc>
        <w:tc>
          <w:tcPr>
            <w:tcW w:w="1276"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1.96395E-95</w:t>
            </w:r>
          </w:p>
        </w:tc>
        <w:tc>
          <w:tcPr>
            <w:tcW w:w="524"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rPr>
          <w:cantSplit/>
          <w:trHeight w:val="0" w:hRule="atLeast"/>
        </w:trPr>
        <w:tc>
          <w:tcPr>
            <w:tcW w:w="10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b/>
                <w:sz w:val="18"/>
                <w:szCs w:val="18"/>
              </w:rPr>
            </w:pPr>
            <w:r>
              <w:rPr>
                <w:rFonts w:ascii="Times New Roman" w:hAnsi="Times New Roman" w:eastAsia="Times New Roman" w:cs="Times New Roman"/>
                <w:b/>
                <w:sz w:val="18"/>
                <w:szCs w:val="18"/>
              </w:rPr>
              <w:t>deletion</w:t>
            </w:r>
          </w:p>
        </w:tc>
        <w:tc>
          <w:tcPr>
            <w:tcW w:w="163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1:374001-382400</w:t>
            </w:r>
          </w:p>
        </w:tc>
        <w:tc>
          <w:tcPr>
            <w:tcW w:w="88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8400</w:t>
            </w:r>
          </w:p>
        </w:tc>
        <w:tc>
          <w:tcPr>
            <w:tcW w:w="95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0.00</w:t>
            </w:r>
          </w:p>
        </w:tc>
        <w:tc>
          <w:tcPr>
            <w:tcW w:w="114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60036.6</w:t>
            </w:r>
          </w:p>
        </w:tc>
        <w:tc>
          <w:tcPr>
            <w:tcW w:w="123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2.36454E-07</w:t>
            </w:r>
          </w:p>
        </w:tc>
        <w:tc>
          <w:tcPr>
            <w:tcW w:w="114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103694</w:t>
            </w:r>
          </w:p>
        </w:tc>
        <w:tc>
          <w:tcPr>
            <w:tcW w:w="1276"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0.00931659</w:t>
            </w:r>
          </w:p>
        </w:tc>
        <w:tc>
          <w:tcPr>
            <w:tcW w:w="524"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rPr>
          <w:cantSplit/>
          <w:trHeight w:val="0" w:hRule="atLeast"/>
        </w:trPr>
        <w:tc>
          <w:tcPr>
            <w:tcW w:w="10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b/>
                <w:sz w:val="18"/>
                <w:szCs w:val="18"/>
              </w:rPr>
            </w:pPr>
            <w:r>
              <w:rPr>
                <w:rFonts w:ascii="Times New Roman" w:hAnsi="Times New Roman" w:eastAsia="Times New Roman" w:cs="Times New Roman"/>
                <w:b/>
                <w:sz w:val="18"/>
                <w:szCs w:val="18"/>
              </w:rPr>
              <w:t>deletion</w:t>
            </w:r>
          </w:p>
        </w:tc>
        <w:tc>
          <w:tcPr>
            <w:tcW w:w="163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1:395601-410000</w:t>
            </w:r>
          </w:p>
        </w:tc>
        <w:tc>
          <w:tcPr>
            <w:tcW w:w="88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14400</w:t>
            </w:r>
          </w:p>
        </w:tc>
        <w:tc>
          <w:tcPr>
            <w:tcW w:w="95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0.00</w:t>
            </w:r>
          </w:p>
        </w:tc>
        <w:tc>
          <w:tcPr>
            <w:tcW w:w="114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21908.4</w:t>
            </w:r>
          </w:p>
        </w:tc>
        <w:tc>
          <w:tcPr>
            <w:tcW w:w="123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7.67309E-19</w:t>
            </w:r>
          </w:p>
        </w:tc>
        <w:tc>
          <w:tcPr>
            <w:tcW w:w="114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31503.6</w:t>
            </w:r>
          </w:p>
        </w:tc>
        <w:tc>
          <w:tcPr>
            <w:tcW w:w="1276"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3.0233E-14</w:t>
            </w:r>
          </w:p>
        </w:tc>
        <w:tc>
          <w:tcPr>
            <w:tcW w:w="524"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rPr>
          <w:cantSplit/>
          <w:trHeight w:val="0" w:hRule="atLeast"/>
        </w:trPr>
        <w:tc>
          <w:tcPr>
            <w:tcW w:w="10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b/>
                <w:sz w:val="18"/>
                <w:szCs w:val="18"/>
              </w:rPr>
            </w:pPr>
            <w:r>
              <w:rPr>
                <w:rFonts w:ascii="Times New Roman" w:hAnsi="Times New Roman" w:eastAsia="Times New Roman" w:cs="Times New Roman"/>
                <w:b/>
                <w:sz w:val="18"/>
                <w:szCs w:val="18"/>
              </w:rPr>
              <w:t>deletion</w:t>
            </w:r>
          </w:p>
        </w:tc>
        <w:tc>
          <w:tcPr>
            <w:tcW w:w="163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1:530401-586400</w:t>
            </w:r>
          </w:p>
        </w:tc>
        <w:tc>
          <w:tcPr>
            <w:tcW w:w="88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56000</w:t>
            </w:r>
          </w:p>
        </w:tc>
        <w:tc>
          <w:tcPr>
            <w:tcW w:w="95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0.07</w:t>
            </w:r>
          </w:p>
        </w:tc>
        <w:tc>
          <w:tcPr>
            <w:tcW w:w="114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2.84594E-12</w:t>
            </w:r>
          </w:p>
        </w:tc>
        <w:tc>
          <w:tcPr>
            <w:tcW w:w="123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2871000000</w:t>
            </w:r>
          </w:p>
        </w:tc>
        <w:tc>
          <w:tcPr>
            <w:tcW w:w="114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463.045</w:t>
            </w:r>
          </w:p>
        </w:tc>
        <w:tc>
          <w:tcPr>
            <w:tcW w:w="1276"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6.68293E-94</w:t>
            </w:r>
          </w:p>
        </w:tc>
        <w:tc>
          <w:tcPr>
            <w:tcW w:w="524"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rPr>
          <w:cantSplit/>
          <w:trHeight w:val="0" w:hRule="atLeast"/>
        </w:trPr>
        <w:tc>
          <w:tcPr>
            <w:tcW w:w="10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b/>
                <w:sz w:val="18"/>
                <w:szCs w:val="18"/>
              </w:rPr>
            </w:pPr>
            <w:r>
              <w:rPr>
                <w:rFonts w:ascii="Times New Roman" w:hAnsi="Times New Roman" w:eastAsia="Times New Roman" w:cs="Times New Roman"/>
                <w:b/>
                <w:sz w:val="18"/>
                <w:szCs w:val="18"/>
              </w:rPr>
              <w:t>deletion</w:t>
            </w:r>
          </w:p>
        </w:tc>
        <w:tc>
          <w:tcPr>
            <w:tcW w:w="163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1:602401-611600</w:t>
            </w:r>
          </w:p>
        </w:tc>
        <w:tc>
          <w:tcPr>
            <w:tcW w:w="88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9200</w:t>
            </w:r>
          </w:p>
        </w:tc>
        <w:tc>
          <w:tcPr>
            <w:tcW w:w="95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0.00</w:t>
            </w:r>
          </w:p>
        </w:tc>
        <w:tc>
          <w:tcPr>
            <w:tcW w:w="114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51300.6</w:t>
            </w:r>
          </w:p>
        </w:tc>
        <w:tc>
          <w:tcPr>
            <w:tcW w:w="123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6.9488E-09</w:t>
            </w:r>
          </w:p>
        </w:tc>
        <w:tc>
          <w:tcPr>
            <w:tcW w:w="114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85120.7</w:t>
            </w:r>
          </w:p>
        </w:tc>
        <w:tc>
          <w:tcPr>
            <w:tcW w:w="1276"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0.000273792</w:t>
            </w:r>
          </w:p>
        </w:tc>
        <w:tc>
          <w:tcPr>
            <w:tcW w:w="524"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rPr>
          <w:cantSplit/>
          <w:trHeight w:val="0" w:hRule="atLeast"/>
        </w:trPr>
        <w:tc>
          <w:tcPr>
            <w:tcW w:w="10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b/>
                <w:sz w:val="18"/>
                <w:szCs w:val="18"/>
              </w:rPr>
            </w:pPr>
            <w:r>
              <w:rPr>
                <w:rFonts w:ascii="Times New Roman" w:hAnsi="Times New Roman" w:eastAsia="Times New Roman" w:cs="Times New Roman"/>
                <w:b/>
                <w:sz w:val="18"/>
                <w:szCs w:val="18"/>
              </w:rPr>
              <w:t>deletion</w:t>
            </w:r>
          </w:p>
        </w:tc>
        <w:tc>
          <w:tcPr>
            <w:tcW w:w="163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1:715201-725200</w:t>
            </w:r>
          </w:p>
        </w:tc>
        <w:tc>
          <w:tcPr>
            <w:tcW w:w="88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10000</w:t>
            </w:r>
          </w:p>
        </w:tc>
        <w:tc>
          <w:tcPr>
            <w:tcW w:w="95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0.05</w:t>
            </w:r>
          </w:p>
        </w:tc>
        <w:tc>
          <w:tcPr>
            <w:tcW w:w="114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4.14369E-10</w:t>
            </w:r>
          </w:p>
        </w:tc>
        <w:tc>
          <w:tcPr>
            <w:tcW w:w="123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34508.9</w:t>
            </w:r>
          </w:p>
        </w:tc>
        <w:tc>
          <w:tcPr>
            <w:tcW w:w="114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71020.6</w:t>
            </w:r>
          </w:p>
        </w:tc>
        <w:tc>
          <w:tcPr>
            <w:tcW w:w="1276"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8.04606E-06</w:t>
            </w:r>
          </w:p>
        </w:tc>
        <w:tc>
          <w:tcPr>
            <w:tcW w:w="524"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rPr>
          <w:cantSplit/>
          <w:trHeight w:val="0" w:hRule="atLeast"/>
        </w:trPr>
        <w:tc>
          <w:tcPr>
            <w:tcW w:w="10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b/>
                <w:sz w:val="18"/>
                <w:szCs w:val="18"/>
              </w:rPr>
            </w:pPr>
            <w:r>
              <w:rPr>
                <w:rFonts w:ascii="Times New Roman" w:hAnsi="Times New Roman" w:eastAsia="Times New Roman" w:cs="Times New Roman"/>
                <w:b/>
                <w:sz w:val="18"/>
                <w:szCs w:val="18"/>
              </w:rPr>
              <w:t>deletion</w:t>
            </w:r>
          </w:p>
        </w:tc>
        <w:tc>
          <w:tcPr>
            <w:tcW w:w="163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1:752801-758800</w:t>
            </w:r>
          </w:p>
        </w:tc>
        <w:tc>
          <w:tcPr>
            <w:tcW w:w="88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6000</w:t>
            </w:r>
          </w:p>
        </w:tc>
        <w:tc>
          <w:tcPr>
            <w:tcW w:w="95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0.00</w:t>
            </w:r>
          </w:p>
        </w:tc>
        <w:tc>
          <w:tcPr>
            <w:tcW w:w="114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103694</w:t>
            </w:r>
          </w:p>
        </w:tc>
        <w:tc>
          <w:tcPr>
            <w:tcW w:w="123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0.00931659</w:t>
            </w:r>
          </w:p>
        </w:tc>
        <w:tc>
          <w:tcPr>
            <w:tcW w:w="114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219126</w:t>
            </w:r>
          </w:p>
        </w:tc>
        <w:tc>
          <w:tcPr>
            <w:tcW w:w="1276"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367.086</w:t>
            </w:r>
          </w:p>
        </w:tc>
        <w:tc>
          <w:tcPr>
            <w:tcW w:w="524"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rPr>
          <w:cantSplit/>
          <w:trHeight w:val="0" w:hRule="atLeast"/>
        </w:trPr>
        <w:tc>
          <w:tcPr>
            <w:tcW w:w="10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b/>
                <w:sz w:val="18"/>
                <w:szCs w:val="18"/>
              </w:rPr>
            </w:pPr>
            <w:r>
              <w:rPr>
                <w:rFonts w:ascii="Times New Roman" w:hAnsi="Times New Roman" w:eastAsia="Times New Roman" w:cs="Times New Roman"/>
                <w:b/>
                <w:sz w:val="18"/>
                <w:szCs w:val="18"/>
              </w:rPr>
              <w:t>deletion</w:t>
            </w:r>
          </w:p>
        </w:tc>
        <w:tc>
          <w:tcPr>
            <w:tcW w:w="163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1:774801-788400</w:t>
            </w:r>
          </w:p>
        </w:tc>
        <w:tc>
          <w:tcPr>
            <w:tcW w:w="88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13600</w:t>
            </w:r>
          </w:p>
        </w:tc>
        <w:tc>
          <w:tcPr>
            <w:tcW w:w="95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0.14</w:t>
            </w:r>
          </w:p>
        </w:tc>
        <w:tc>
          <w:tcPr>
            <w:tcW w:w="114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0.000229786</w:t>
            </w:r>
          </w:p>
        </w:tc>
        <w:tc>
          <w:tcPr>
            <w:tcW w:w="123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1088670000</w:t>
            </w:r>
          </w:p>
        </w:tc>
        <w:tc>
          <w:tcPr>
            <w:tcW w:w="114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0.000597266</w:t>
            </w:r>
          </w:p>
        </w:tc>
        <w:tc>
          <w:tcPr>
            <w:tcW w:w="1276"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1291860000</w:t>
            </w:r>
          </w:p>
        </w:tc>
        <w:tc>
          <w:tcPr>
            <w:tcW w:w="524"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rPr>
          <w:cantSplit/>
          <w:trHeight w:val="0" w:hRule="atLeast"/>
        </w:trPr>
        <w:tc>
          <w:tcPr>
            <w:tcW w:w="10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b/>
                <w:sz w:val="18"/>
                <w:szCs w:val="18"/>
              </w:rPr>
            </w:pPr>
            <w:r>
              <w:rPr>
                <w:rFonts w:ascii="Times New Roman" w:hAnsi="Times New Roman" w:eastAsia="Times New Roman" w:cs="Times New Roman"/>
                <w:b/>
                <w:sz w:val="18"/>
                <w:szCs w:val="18"/>
              </w:rPr>
              <w:t>deletion</w:t>
            </w:r>
          </w:p>
        </w:tc>
        <w:tc>
          <w:tcPr>
            <w:tcW w:w="163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1:937601-946800</w:t>
            </w:r>
          </w:p>
        </w:tc>
        <w:tc>
          <w:tcPr>
            <w:tcW w:w="88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9200</w:t>
            </w:r>
          </w:p>
        </w:tc>
        <w:tc>
          <w:tcPr>
            <w:tcW w:w="95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0.00</w:t>
            </w:r>
          </w:p>
        </w:tc>
        <w:tc>
          <w:tcPr>
            <w:tcW w:w="114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51300.6</w:t>
            </w:r>
          </w:p>
        </w:tc>
        <w:tc>
          <w:tcPr>
            <w:tcW w:w="123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6.9488E-09</w:t>
            </w:r>
          </w:p>
        </w:tc>
        <w:tc>
          <w:tcPr>
            <w:tcW w:w="114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85120.7</w:t>
            </w:r>
          </w:p>
        </w:tc>
        <w:tc>
          <w:tcPr>
            <w:tcW w:w="1276"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0.000273792</w:t>
            </w:r>
          </w:p>
        </w:tc>
        <w:tc>
          <w:tcPr>
            <w:tcW w:w="524"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rPr>
          <w:cantSplit/>
          <w:trHeight w:val="0" w:hRule="atLeast"/>
        </w:trPr>
        <w:tc>
          <w:tcPr>
            <w:tcW w:w="10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b/>
                <w:sz w:val="18"/>
                <w:szCs w:val="18"/>
              </w:rPr>
            </w:pPr>
            <w:r>
              <w:rPr>
                <w:rFonts w:ascii="Times New Roman" w:hAnsi="Times New Roman" w:eastAsia="Times New Roman" w:cs="Times New Roman"/>
                <w:b/>
                <w:sz w:val="18"/>
                <w:szCs w:val="18"/>
              </w:rPr>
              <w:t>deletion</w:t>
            </w:r>
          </w:p>
        </w:tc>
        <w:tc>
          <w:tcPr>
            <w:tcW w:w="163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1:1157201-1175200</w:t>
            </w:r>
          </w:p>
        </w:tc>
        <w:tc>
          <w:tcPr>
            <w:tcW w:w="88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18000</w:t>
            </w:r>
          </w:p>
        </w:tc>
        <w:tc>
          <w:tcPr>
            <w:tcW w:w="95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0.13</w:t>
            </w:r>
          </w:p>
        </w:tc>
        <w:tc>
          <w:tcPr>
            <w:tcW w:w="114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0.0075837</w:t>
            </w:r>
          </w:p>
        </w:tc>
        <w:tc>
          <w:tcPr>
            <w:tcW w:w="123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2870940000</w:t>
            </w:r>
          </w:p>
        </w:tc>
        <w:tc>
          <w:tcPr>
            <w:tcW w:w="114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0.349646</w:t>
            </w:r>
          </w:p>
        </w:tc>
        <w:tc>
          <w:tcPr>
            <w:tcW w:w="1276"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2870950000</w:t>
            </w:r>
          </w:p>
        </w:tc>
        <w:tc>
          <w:tcPr>
            <w:tcW w:w="524"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rPr>
          <w:cantSplit/>
          <w:trHeight w:val="0" w:hRule="atLeast"/>
        </w:trPr>
        <w:tc>
          <w:tcPr>
            <w:tcW w:w="10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b/>
                <w:sz w:val="18"/>
                <w:szCs w:val="18"/>
              </w:rPr>
            </w:pPr>
            <w:r>
              <w:rPr>
                <w:rFonts w:ascii="Times New Roman" w:hAnsi="Times New Roman" w:eastAsia="Times New Roman" w:cs="Times New Roman"/>
                <w:b/>
                <w:sz w:val="18"/>
                <w:szCs w:val="18"/>
              </w:rPr>
              <w:t>deletion</w:t>
            </w:r>
          </w:p>
        </w:tc>
        <w:tc>
          <w:tcPr>
            <w:tcW w:w="163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1:1239601-1440000</w:t>
            </w:r>
          </w:p>
        </w:tc>
        <w:tc>
          <w:tcPr>
            <w:tcW w:w="88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200400</w:t>
            </w:r>
          </w:p>
        </w:tc>
        <w:tc>
          <w:tcPr>
            <w:tcW w:w="95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7.69</w:t>
            </w:r>
          </w:p>
        </w:tc>
        <w:tc>
          <w:tcPr>
            <w:tcW w:w="114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6.45365</w:t>
            </w:r>
          </w:p>
        </w:tc>
        <w:tc>
          <w:tcPr>
            <w:tcW w:w="123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3.47942E-32</w:t>
            </w:r>
          </w:p>
        </w:tc>
        <w:tc>
          <w:tcPr>
            <w:tcW w:w="114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6.38796</w:t>
            </w:r>
          </w:p>
        </w:tc>
        <w:tc>
          <w:tcPr>
            <w:tcW w:w="1276"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1.07529E-31</w:t>
            </w:r>
          </w:p>
        </w:tc>
        <w:tc>
          <w:tcPr>
            <w:tcW w:w="524"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rPr>
          <w:cantSplit/>
          <w:trHeight w:val="0" w:hRule="atLeast"/>
        </w:trPr>
        <w:tc>
          <w:tcPr>
            <w:tcW w:w="10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b/>
                <w:sz w:val="18"/>
                <w:szCs w:val="18"/>
              </w:rPr>
            </w:pPr>
            <w:r>
              <w:rPr>
                <w:rFonts w:ascii="Times New Roman" w:hAnsi="Times New Roman" w:eastAsia="Times New Roman" w:cs="Times New Roman"/>
                <w:b/>
                <w:sz w:val="18"/>
                <w:szCs w:val="18"/>
              </w:rPr>
              <w:t>deletion</w:t>
            </w:r>
          </w:p>
        </w:tc>
        <w:tc>
          <w:tcPr>
            <w:tcW w:w="163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1:1532401-1541600</w:t>
            </w:r>
          </w:p>
        </w:tc>
        <w:tc>
          <w:tcPr>
            <w:tcW w:w="88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9200</w:t>
            </w:r>
          </w:p>
        </w:tc>
        <w:tc>
          <w:tcPr>
            <w:tcW w:w="95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0.10</w:t>
            </w:r>
          </w:p>
        </w:tc>
        <w:tc>
          <w:tcPr>
            <w:tcW w:w="114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0.0020657</w:t>
            </w:r>
          </w:p>
        </w:tc>
        <w:tc>
          <w:tcPr>
            <w:tcW w:w="123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322936000</w:t>
            </w:r>
          </w:p>
        </w:tc>
        <w:tc>
          <w:tcPr>
            <w:tcW w:w="114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85120.7</w:t>
            </w:r>
          </w:p>
        </w:tc>
        <w:tc>
          <w:tcPr>
            <w:tcW w:w="1276"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0.000273792</w:t>
            </w:r>
          </w:p>
        </w:tc>
        <w:tc>
          <w:tcPr>
            <w:tcW w:w="524"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rPr>
          <w:cantSplit/>
          <w:trHeight w:val="0" w:hRule="atLeast"/>
        </w:trPr>
        <w:tc>
          <w:tcPr>
            <w:tcW w:w="10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b/>
                <w:sz w:val="18"/>
                <w:szCs w:val="18"/>
              </w:rPr>
            </w:pPr>
            <w:r>
              <w:rPr>
                <w:rFonts w:ascii="Times New Roman" w:hAnsi="Times New Roman" w:eastAsia="Times New Roman" w:cs="Times New Roman"/>
                <w:b/>
                <w:sz w:val="18"/>
                <w:szCs w:val="18"/>
              </w:rPr>
              <w:t>deletion</w:t>
            </w:r>
          </w:p>
        </w:tc>
        <w:tc>
          <w:tcPr>
            <w:tcW w:w="163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1:1614801-1624800</w:t>
            </w:r>
          </w:p>
        </w:tc>
        <w:tc>
          <w:tcPr>
            <w:tcW w:w="88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10000</w:t>
            </w:r>
          </w:p>
        </w:tc>
        <w:tc>
          <w:tcPr>
            <w:tcW w:w="95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0.11</w:t>
            </w:r>
          </w:p>
        </w:tc>
        <w:tc>
          <w:tcPr>
            <w:tcW w:w="114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8.01685E-06</w:t>
            </w:r>
          </w:p>
        </w:tc>
        <w:tc>
          <w:tcPr>
            <w:tcW w:w="123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1742780</w:t>
            </w:r>
          </w:p>
        </w:tc>
        <w:tc>
          <w:tcPr>
            <w:tcW w:w="114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0.0303349</w:t>
            </w:r>
          </w:p>
        </w:tc>
        <w:tc>
          <w:tcPr>
            <w:tcW w:w="1276"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10310300</w:t>
            </w:r>
          </w:p>
        </w:tc>
        <w:tc>
          <w:tcPr>
            <w:tcW w:w="524"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w:t>
            </w:r>
          </w:p>
        </w:tc>
      </w:tr>
      <w:tr>
        <w:tblPrEx>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Layout w:type="fixed"/>
          <w:tblCellMar>
            <w:top w:w="72" w:type="dxa"/>
            <w:left w:w="67" w:type="dxa"/>
            <w:bottom w:w="72" w:type="dxa"/>
            <w:right w:w="72" w:type="dxa"/>
          </w:tblCellMar>
        </w:tblPrEx>
        <w:trPr>
          <w:cantSplit/>
          <w:trHeight w:val="0" w:hRule="atLeast"/>
        </w:trPr>
        <w:tc>
          <w:tcPr>
            <w:tcW w:w="102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b/>
                <w:sz w:val="18"/>
                <w:szCs w:val="18"/>
              </w:rPr>
            </w:pPr>
            <w:r>
              <w:rPr>
                <w:rFonts w:ascii="Times New Roman" w:hAnsi="Times New Roman" w:eastAsia="Times New Roman" w:cs="Times New Roman"/>
                <w:b/>
                <w:sz w:val="18"/>
                <w:szCs w:val="18"/>
              </w:rPr>
              <w:t>duplication</w:t>
            </w:r>
          </w:p>
        </w:tc>
        <w:tc>
          <w:tcPr>
            <w:tcW w:w="163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1:1726401-1786400</w:t>
            </w:r>
          </w:p>
        </w:tc>
        <w:tc>
          <w:tcPr>
            <w:tcW w:w="885"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60000</w:t>
            </w:r>
          </w:p>
        </w:tc>
        <w:tc>
          <w:tcPr>
            <w:tcW w:w="959"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68.84</w:t>
            </w:r>
          </w:p>
        </w:tc>
        <w:tc>
          <w:tcPr>
            <w:tcW w:w="114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0.0369587</w:t>
            </w:r>
          </w:p>
        </w:tc>
        <w:tc>
          <w:tcPr>
            <w:tcW w:w="123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0.00161278</w:t>
            </w:r>
          </w:p>
        </w:tc>
        <w:tc>
          <w:tcPr>
            <w:tcW w:w="1140"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0.00493937</w:t>
            </w:r>
          </w:p>
        </w:tc>
        <w:tc>
          <w:tcPr>
            <w:tcW w:w="1276"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0.00498419</w:t>
            </w:r>
          </w:p>
        </w:tc>
        <w:tc>
          <w:tcPr>
            <w:tcW w:w="524" w:type="dxa"/>
            <w:tcBorders>
              <w:top w:val="single" w:color="D9D9D9" w:sz="4" w:space="0"/>
              <w:left w:val="single" w:color="D9D9D9" w:sz="4" w:space="0"/>
              <w:bottom w:val="single" w:color="D9D9D9" w:sz="4" w:space="0"/>
              <w:right w:val="single" w:color="D9D9D9" w:sz="4" w:space="0"/>
              <w:insideH w:val="single" w:sz="4" w:space="0"/>
              <w:insideV w:val="single" w:sz="4" w:space="0"/>
            </w:tcBorders>
            <w:shd w:val="clear" w:color="auto" w:fill="auto"/>
            <w:tcMar>
              <w:left w:w="67" w:type="dxa"/>
            </w:tcMar>
            <w:vAlign w:val="top"/>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righ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w:t>
            </w:r>
          </w:p>
        </w:tc>
      </w:tr>
    </w:tbl>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p>
    <w:p>
      <w:pPr>
        <w:pStyle w:val="5"/>
        <w:pageBreakBefore w:val="0"/>
        <w:kinsoku/>
        <w:wordWrap/>
        <w:overflowPunct/>
        <w:topLinePunct w:val="0"/>
        <w:autoSpaceDE/>
        <w:autoSpaceDN/>
        <w:bidi w:val="0"/>
        <w:adjustRightInd/>
        <w:spacing w:before="0" w:after="0" w:line="480" w:lineRule="auto"/>
        <w:textAlignment w:val="auto"/>
        <w:rPr>
          <w:rFonts w:ascii="Times New Roman" w:hAnsi="Times New Roman" w:eastAsia="Times New Roman" w:cs="Times New Roman"/>
          <w:b/>
          <w:color w:val="000000"/>
          <w:sz w:val="22"/>
          <w:szCs w:val="22"/>
        </w:rPr>
      </w:pPr>
      <w:bookmarkStart w:id="14" w:name="_rhx0poansuq0"/>
      <w:bookmarkEnd w:id="14"/>
      <w:r>
        <w:rPr>
          <w:rFonts w:ascii="Times New Roman" w:hAnsi="Times New Roman" w:eastAsia="Times New Roman" w:cs="Times New Roman"/>
          <w:b/>
          <w:color w:val="000000"/>
          <w:sz w:val="22"/>
          <w:szCs w:val="22"/>
        </w:rPr>
        <w:t>Copy number calling with Control-FREEC</w:t>
      </w: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r>
        <w:rPr>
          <w:rFonts w:ascii="Times New Roman" w:hAnsi="Times New Roman" w:eastAsia="Times New Roman" w:cs="Times New Roman"/>
        </w:rPr>
        <w:t xml:space="preserve">For Control-FREEC, the same bin size of 400 was set. The same entry points (genome length) were used as for ReadDepth and SVDetect. </w:t>
      </w:r>
    </w:p>
    <w:p>
      <w:pPr>
        <w:pStyle w:val="5"/>
        <w:keepNext/>
        <w:keepLines/>
        <w:pageBreakBefore w:val="0"/>
        <w:widowControl/>
        <w:shd w:val="clear" w:fill="auto"/>
        <w:kinsoku/>
        <w:wordWrap/>
        <w:overflowPunct/>
        <w:topLinePunct w:val="0"/>
        <w:autoSpaceDE/>
        <w:autoSpaceDN/>
        <w:bidi w:val="0"/>
        <w:adjustRightInd/>
        <w:spacing w:before="0" w:after="0" w:line="480" w:lineRule="auto"/>
        <w:ind w:left="0" w:right="0" w:firstLine="0"/>
        <w:jc w:val="left"/>
        <w:textAlignment w:val="auto"/>
        <w:rPr>
          <w:rFonts w:ascii="Times New Roman" w:hAnsi="Times New Roman" w:eastAsia="Times New Roman" w:cs="Times New Roman"/>
          <w:b/>
          <w:color w:val="000000"/>
          <w:sz w:val="22"/>
          <w:szCs w:val="22"/>
        </w:rPr>
      </w:pPr>
      <w:bookmarkStart w:id="15" w:name="_zi5qfc8gbaz4"/>
      <w:bookmarkEnd w:id="15"/>
    </w:p>
    <w:p>
      <w:pPr>
        <w:pStyle w:val="5"/>
        <w:keepNext/>
        <w:keepLines/>
        <w:pageBreakBefore w:val="0"/>
        <w:widowControl/>
        <w:shd w:val="clear" w:fill="auto"/>
        <w:kinsoku/>
        <w:wordWrap/>
        <w:overflowPunct/>
        <w:topLinePunct w:val="0"/>
        <w:autoSpaceDE/>
        <w:autoSpaceDN/>
        <w:bidi w:val="0"/>
        <w:adjustRightInd/>
        <w:spacing w:before="0" w:after="0" w:line="480" w:lineRule="auto"/>
        <w:ind w:left="0" w:right="0" w:firstLine="0"/>
        <w:jc w:val="left"/>
        <w:textAlignment w:val="auto"/>
        <w:rPr>
          <w:rFonts w:ascii="Times New Roman" w:hAnsi="Times New Roman" w:eastAsia="Times New Roman" w:cs="Times New Roman"/>
          <w:b/>
          <w:color w:val="000000"/>
          <w:sz w:val="22"/>
          <w:szCs w:val="22"/>
        </w:rPr>
      </w:pPr>
      <w:r>
        <w:rPr>
          <w:rFonts w:ascii="Times New Roman" w:hAnsi="Times New Roman" w:eastAsia="Times New Roman" w:cs="Times New Roman"/>
          <w:b/>
          <w:color w:val="000000"/>
          <w:sz w:val="22"/>
          <w:szCs w:val="22"/>
        </w:rPr>
        <w:t>Copy number calling with CopyCat</w:t>
      </w: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r>
        <w:rPr>
          <w:rFonts w:ascii="Times New Roman" w:hAnsi="Times New Roman" w:eastAsia="Times New Roman" w:cs="Times New Roman"/>
        </w:rPr>
        <w:t>CopyCat was run as single sample approach. The parameters were set similar to the ones for ReadDepth. CopyCat could not be run on cancer cell PC3 which was probably caused by a format error in the alignment which we could not resolve.</w:t>
      </w:r>
    </w:p>
    <w:p>
      <w:pPr>
        <w:pStyle w:val="5"/>
        <w:keepNext/>
        <w:keepLines/>
        <w:pageBreakBefore w:val="0"/>
        <w:widowControl/>
        <w:shd w:val="clear" w:fill="auto"/>
        <w:kinsoku/>
        <w:wordWrap/>
        <w:overflowPunct/>
        <w:topLinePunct w:val="0"/>
        <w:autoSpaceDE/>
        <w:autoSpaceDN/>
        <w:bidi w:val="0"/>
        <w:adjustRightInd/>
        <w:spacing w:before="0" w:after="0" w:line="480" w:lineRule="auto"/>
        <w:ind w:left="0" w:right="0" w:firstLine="0"/>
        <w:jc w:val="left"/>
        <w:textAlignment w:val="auto"/>
        <w:rPr>
          <w:rFonts w:ascii="Times New Roman" w:hAnsi="Times New Roman" w:eastAsia="Times New Roman" w:cs="Times New Roman"/>
          <w:b/>
          <w:color w:val="000000"/>
          <w:sz w:val="22"/>
          <w:szCs w:val="22"/>
        </w:rPr>
      </w:pPr>
      <w:bookmarkStart w:id="16" w:name="_xyufvzeqqi5u"/>
      <w:bookmarkEnd w:id="16"/>
    </w:p>
    <w:p>
      <w:pPr>
        <w:pStyle w:val="5"/>
        <w:keepNext/>
        <w:keepLines/>
        <w:pageBreakBefore w:val="0"/>
        <w:widowControl/>
        <w:shd w:val="clear" w:fill="auto"/>
        <w:kinsoku/>
        <w:wordWrap/>
        <w:overflowPunct/>
        <w:topLinePunct w:val="0"/>
        <w:autoSpaceDE/>
        <w:autoSpaceDN/>
        <w:bidi w:val="0"/>
        <w:adjustRightInd/>
        <w:spacing w:before="0" w:after="0" w:line="480" w:lineRule="auto"/>
        <w:ind w:left="0" w:right="0" w:firstLine="0"/>
        <w:jc w:val="left"/>
        <w:textAlignment w:val="auto"/>
        <w:rPr>
          <w:rFonts w:ascii="Times New Roman" w:hAnsi="Times New Roman" w:eastAsia="Times New Roman" w:cs="Times New Roman"/>
          <w:b/>
          <w:color w:val="000000"/>
          <w:sz w:val="22"/>
          <w:szCs w:val="22"/>
        </w:rPr>
      </w:pPr>
      <w:r>
        <w:rPr>
          <w:rFonts w:ascii="Times New Roman" w:hAnsi="Times New Roman" w:eastAsia="Times New Roman" w:cs="Times New Roman"/>
          <w:b/>
          <w:color w:val="000000"/>
          <w:sz w:val="22"/>
          <w:szCs w:val="22"/>
        </w:rPr>
        <w:t>Simulated data</w:t>
      </w: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r>
        <w:drawing>
          <wp:inline distT="0" distB="0" distL="0" distR="0">
            <wp:extent cx="5943600" cy="3606800"/>
            <wp:effectExtent l="0" t="0" r="0" b="0"/>
            <wp:docPr id="1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5.png"/>
                    <pic:cNvPicPr>
                      <a:picLocks noChangeAspect="1" noChangeArrowheads="1"/>
                    </pic:cNvPicPr>
                  </pic:nvPicPr>
                  <pic:blipFill>
                    <a:blip r:embed="rId22"/>
                    <a:stretch>
                      <a:fillRect/>
                    </a:stretch>
                  </pic:blipFill>
                  <pic:spPr>
                    <a:xfrm>
                      <a:off x="0" y="0"/>
                      <a:ext cx="5943600" cy="3606800"/>
                    </a:xfrm>
                    <a:prstGeom prst="rect">
                      <a:avLst/>
                    </a:prstGeom>
                  </pic:spPr>
                </pic:pic>
              </a:graphicData>
            </a:graphic>
          </wp:inline>
        </w:drawing>
      </w:r>
      <w:r>
        <w:rPr>
          <w:rFonts w:ascii="Times New Roman" w:hAnsi="Times New Roman" w:eastAsia="Times New Roman" w:cs="Times New Roman"/>
          <w:b/>
        </w:rPr>
        <w:t xml:space="preserve">Figure S16. </w:t>
      </w:r>
      <w:r>
        <w:rPr>
          <w:rFonts w:ascii="Times New Roman" w:hAnsi="Times New Roman" w:eastAsia="Times New Roman" w:cs="Times New Roman"/>
          <w:b w:val="0"/>
          <w:bCs/>
        </w:rPr>
        <w:t xml:space="preserve">Aligned simulated reads of different coverages (1x, 2x, 3x, 20x) and different read lengths (199 bp, 1000 bp) using Pirs. </w:t>
      </w:r>
      <w:r>
        <w:rPr>
          <w:rFonts w:ascii="Times New Roman" w:hAnsi="Times New Roman" w:eastAsia="Times New Roman" w:cs="Times New Roman"/>
        </w:rPr>
        <w:t>Although each simulation was done with constant coverage, a high variance in coverage can be observed, which is independent from the read length. The simulated alignment with 20x and read length of 100 bp was used as simNormal sample for callers that require a matched sample for copy number calling (e.g SVDetect).</w:t>
      </w:r>
      <w:r>
        <w:rPr>
          <w:rFonts w:hint="default" w:ascii="Times New Roman" w:hAnsi="Times New Roman" w:eastAsia="Times New Roman" w:cs="Times New Roman"/>
          <w:lang w:val="en"/>
        </w:rPr>
        <w:t xml:space="preserve"> </w:t>
      </w:r>
      <w:r>
        <w:rPr>
          <w:rFonts w:ascii="Times New Roman" w:hAnsi="Times New Roman" w:eastAsia="Times New Roman" w:cs="Times New Roman"/>
        </w:rPr>
        <w:t xml:space="preserve">The normal alignment (simNormal) was simulated with Pirs  </w:t>
      </w:r>
      <w:bookmarkStart w:id="17" w:name="__UnoMark__69948_1130765805"/>
      <w:r>
        <w:rPr>
          <w:rFonts w:ascii="Times New Roman" w:hAnsi="Times New Roman" w:eastAsia="Times New Roman" w:cs="Times New Roman"/>
          <w:position w:val="0"/>
          <w:sz w:val="22"/>
          <w:vertAlign w:val="baseline"/>
        </w:rPr>
        <w:t>[23]</w:t>
      </w:r>
      <w:bookmarkEnd w:id="17"/>
      <w:r>
        <w:rPr>
          <w:rFonts w:ascii="Times New Roman" w:hAnsi="Times New Roman" w:eastAsia="Times New Roman" w:cs="Times New Roman"/>
        </w:rPr>
        <w:t xml:space="preserve"> and default parameters plus a read length of 100 bp and a coverage of 20x (Figure S16).</w:t>
      </w:r>
      <w:r>
        <w:rPr>
          <w:rFonts w:hint="default" w:ascii="Times New Roman" w:hAnsi="Times New Roman" w:eastAsia="Times New Roman" w:cs="Times New Roman"/>
          <w:lang w:val="en"/>
        </w:rPr>
        <w:t xml:space="preserve"> </w:t>
      </w:r>
      <w:r>
        <w:rPr>
          <w:rFonts w:ascii="Times New Roman" w:hAnsi="Times New Roman" w:eastAsia="Times New Roman" w:cs="Times New Roman"/>
        </w:rPr>
        <w:t>The simulated null alignment (simNull) is an alignment file in *.bam format with zero coverage.</w:t>
      </w:r>
    </w:p>
    <w:p>
      <w:pPr>
        <w:pStyle w:val="4"/>
        <w:keepNext/>
        <w:keepLines w:val="0"/>
        <w:pageBreakBefore w:val="0"/>
        <w:widowControl/>
        <w:shd w:val="clear" w:fill="auto"/>
        <w:kinsoku/>
        <w:wordWrap/>
        <w:overflowPunct/>
        <w:topLinePunct w:val="0"/>
        <w:autoSpaceDE/>
        <w:autoSpaceDN/>
        <w:bidi w:val="0"/>
        <w:adjustRightInd/>
        <w:spacing w:before="0" w:after="0" w:line="480" w:lineRule="auto"/>
        <w:ind w:left="0" w:right="0" w:firstLine="0"/>
        <w:jc w:val="left"/>
        <w:textAlignment w:val="auto"/>
        <w:rPr>
          <w:b/>
          <w:color w:val="000000"/>
          <w:sz w:val="22"/>
          <w:szCs w:val="22"/>
        </w:rPr>
      </w:pPr>
      <w:bookmarkStart w:id="18" w:name="_m79bpbegcbmg"/>
      <w:bookmarkEnd w:id="18"/>
    </w:p>
    <w:p>
      <w:pPr>
        <w:pStyle w:val="4"/>
        <w:keepNext/>
        <w:keepLines w:val="0"/>
        <w:pageBreakBefore w:val="0"/>
        <w:widowControl/>
        <w:shd w:val="clear" w:fill="auto"/>
        <w:kinsoku/>
        <w:wordWrap/>
        <w:overflowPunct/>
        <w:topLinePunct w:val="0"/>
        <w:autoSpaceDE/>
        <w:autoSpaceDN/>
        <w:bidi w:val="0"/>
        <w:adjustRightInd/>
        <w:spacing w:before="0" w:after="0" w:line="480" w:lineRule="auto"/>
        <w:ind w:left="0" w:right="0" w:firstLine="0"/>
        <w:jc w:val="left"/>
        <w:textAlignment w:val="auto"/>
        <w:rPr>
          <w:b/>
          <w:color w:val="000000"/>
          <w:sz w:val="22"/>
          <w:szCs w:val="22"/>
        </w:rPr>
      </w:pPr>
      <w:r>
        <w:rPr>
          <w:b/>
          <w:color w:val="000000"/>
          <w:sz w:val="22"/>
          <w:szCs w:val="22"/>
        </w:rPr>
        <w:t xml:space="preserve">MetaCNV’s rules in detail </w:t>
      </w: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b/>
        </w:rPr>
      </w:pPr>
    </w:p>
    <w:p>
      <w:pPr>
        <w:pageBreakBefore w:val="0"/>
        <w:kinsoku/>
        <w:wordWrap/>
        <w:overflowPunct/>
        <w:topLinePunct w:val="0"/>
        <w:autoSpaceDE/>
        <w:autoSpaceDN/>
        <w:bidi w:val="0"/>
        <w:adjustRightInd/>
        <w:spacing w:line="480" w:lineRule="auto"/>
        <w:textAlignment w:val="auto"/>
        <w:rPr>
          <w:b/>
        </w:rPr>
      </w:pPr>
      <w:r>
        <w:rPr>
          <w:rFonts w:ascii="Times New Roman" w:hAnsi="Times New Roman" w:eastAsia="Times New Roman" w:cs="Times New Roman"/>
          <w:b/>
        </w:rPr>
        <w:t>Table S14.</w:t>
      </w:r>
      <w:r>
        <w:rPr>
          <w:rFonts w:ascii="Times New Roman" w:hAnsi="Times New Roman" w:eastAsia="Times New Roman" w:cs="Times New Roman"/>
          <w:b w:val="0"/>
          <w:bCs/>
        </w:rPr>
        <w:t xml:space="preserve"> MetaCNV’s rules in detail</w:t>
      </w:r>
      <w:r>
        <w:rPr>
          <w:rFonts w:hint="default" w:ascii="Times New Roman" w:hAnsi="Times New Roman" w:eastAsia="Times New Roman" w:cs="Times New Roman"/>
          <w:b w:val="0"/>
          <w:bCs/>
          <w:lang w:val="en"/>
        </w:rPr>
        <w:t xml:space="preserve">. </w:t>
      </w:r>
      <w:r>
        <w:rPr>
          <w:rFonts w:ascii="Times New Roman" w:hAnsi="Times New Roman" w:eastAsia="Times New Roman" w:cs="Times New Roman"/>
          <w:b w:val="0"/>
          <w:bCs/>
        </w:rPr>
        <w:t>For each bin, the nor</w:t>
      </w:r>
      <w:r>
        <w:rPr>
          <w:rFonts w:ascii="Times New Roman" w:hAnsi="Times New Roman" w:eastAsia="Times New Roman" w:cs="Times New Roman"/>
        </w:rPr>
        <w:t>malised copy numbers of the input callers were inspected and these rules applied</w:t>
      </w:r>
      <w:r>
        <w:rPr>
          <w:rFonts w:hint="default" w:ascii="Times New Roman" w:hAnsi="Times New Roman" w:eastAsia="Times New Roman" w:cs="Times New Roman"/>
          <w:lang w:val="en"/>
        </w:rPr>
        <w:t>.</w:t>
      </w:r>
      <w:r>
        <w:rPr>
          <w:rFonts w:ascii="Times New Roman" w:hAnsi="Times New Roman" w:eastAsia="Times New Roman" w:cs="Times New Roman"/>
        </w:rPr>
        <w:t xml:space="preserve"> </w:t>
      </w:r>
      <w:r>
        <w:rPr>
          <w:rFonts w:ascii="Times New Roman" w:hAnsi="Times New Roman" w:eastAsia="Times New Roman" w:cs="Times New Roman"/>
          <w:b/>
        </w:rPr>
        <w:t xml:space="preserve"> </w:t>
      </w:r>
    </w:p>
    <w:tbl>
      <w:tblPr>
        <w:tblStyle w:val="17"/>
        <w:tblW w:w="9359" w:type="dxa"/>
        <w:tblInd w:w="-113" w:type="dxa"/>
        <w:tblBorders>
          <w:top w:val="single" w:color="B7B7B7" w:sz="4" w:space="0"/>
          <w:left w:val="single" w:color="B7B7B7" w:sz="4" w:space="0"/>
          <w:bottom w:val="single" w:color="B7B7B7" w:sz="4" w:space="0"/>
          <w:right w:val="single" w:color="B7B7B7" w:sz="4" w:space="0"/>
          <w:insideH w:val="single" w:color="B7B7B7" w:sz="4" w:space="0"/>
          <w:insideV w:val="single" w:color="B7B7B7" w:sz="4" w:space="0"/>
        </w:tblBorders>
        <w:tblLayout w:type="fixed"/>
        <w:tblCellMar>
          <w:top w:w="0" w:type="dxa"/>
          <w:left w:w="-5" w:type="dxa"/>
          <w:bottom w:w="0" w:type="dxa"/>
          <w:right w:w="0" w:type="dxa"/>
        </w:tblCellMar>
      </w:tblPr>
      <w:tblGrid>
        <w:gridCol w:w="6719"/>
        <w:gridCol w:w="2640"/>
      </w:tblGrid>
      <w:tr>
        <w:tblPrEx>
          <w:tblBorders>
            <w:top w:val="single" w:color="B7B7B7" w:sz="4" w:space="0"/>
            <w:left w:val="single" w:color="B7B7B7" w:sz="4" w:space="0"/>
            <w:bottom w:val="single" w:color="B7B7B7" w:sz="4" w:space="0"/>
            <w:right w:val="single" w:color="B7B7B7" w:sz="4" w:space="0"/>
            <w:insideH w:val="single" w:color="B7B7B7" w:sz="4" w:space="0"/>
            <w:insideV w:val="single" w:color="B7B7B7" w:sz="4" w:space="0"/>
          </w:tblBorders>
          <w:tblLayout w:type="fixed"/>
          <w:tblCellMar>
            <w:top w:w="0" w:type="dxa"/>
            <w:left w:w="-5" w:type="dxa"/>
            <w:bottom w:w="0" w:type="dxa"/>
            <w:right w:w="0" w:type="dxa"/>
          </w:tblCellMar>
        </w:tblPrEx>
        <w:tc>
          <w:tcPr>
            <w:tcW w:w="6719" w:type="dxa"/>
            <w:tcBorders>
              <w:top w:val="single" w:color="B7B7B7" w:sz="4" w:space="0"/>
              <w:left w:val="single" w:color="B7B7B7" w:sz="4" w:space="0"/>
              <w:bottom w:val="single" w:color="B7B7B7" w:sz="4" w:space="0"/>
              <w:right w:val="single" w:color="B7B7B7" w:sz="4" w:space="0"/>
              <w:insideH w:val="single" w:sz="4" w:space="0"/>
              <w:insideV w:val="single" w:sz="4" w:space="0"/>
            </w:tcBorders>
            <w:shd w:val="clear" w:color="auto" w:fill="EFEFEF"/>
            <w:tcMar>
              <w:left w:w="-5" w:type="dxa"/>
            </w:tcMar>
          </w:tcPr>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b/>
                <w:sz w:val="18"/>
                <w:szCs w:val="18"/>
              </w:rPr>
            </w:pPr>
            <w:r>
              <w:rPr>
                <w:rFonts w:ascii="Times New Roman" w:hAnsi="Times New Roman" w:eastAsia="Times New Roman" w:cs="Times New Roman"/>
                <w:b/>
                <w:sz w:val="18"/>
                <w:szCs w:val="18"/>
              </w:rPr>
              <w:t>Rule</w:t>
            </w:r>
          </w:p>
        </w:tc>
        <w:tc>
          <w:tcPr>
            <w:tcW w:w="2640" w:type="dxa"/>
            <w:tcBorders>
              <w:top w:val="single" w:color="B7B7B7" w:sz="4" w:space="0"/>
              <w:left w:val="single" w:color="B7B7B7" w:sz="4" w:space="0"/>
              <w:bottom w:val="single" w:color="B7B7B7" w:sz="4" w:space="0"/>
              <w:right w:val="single" w:color="B7B7B7" w:sz="4" w:space="0"/>
              <w:insideH w:val="single" w:sz="4" w:space="0"/>
              <w:insideV w:val="single" w:sz="4" w:space="0"/>
            </w:tcBorders>
            <w:shd w:val="clear" w:color="auto" w:fill="EFEFEF"/>
            <w:tcMar>
              <w:left w:w="-5" w:type="dxa"/>
            </w:tcMar>
          </w:tcPr>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b/>
                <w:sz w:val="18"/>
                <w:szCs w:val="18"/>
              </w:rPr>
            </w:pPr>
            <w:r>
              <w:rPr>
                <w:rFonts w:ascii="Times New Roman" w:hAnsi="Times New Roman" w:eastAsia="Times New Roman" w:cs="Times New Roman"/>
                <w:b/>
                <w:sz w:val="18"/>
                <w:szCs w:val="18"/>
              </w:rPr>
              <w:t>Prediction</w:t>
            </w:r>
          </w:p>
        </w:tc>
      </w:tr>
      <w:tr>
        <w:tblPrEx>
          <w:tblBorders>
            <w:top w:val="single" w:color="B7B7B7" w:sz="4" w:space="0"/>
            <w:left w:val="single" w:color="B7B7B7" w:sz="4" w:space="0"/>
            <w:bottom w:val="single" w:color="B7B7B7" w:sz="4" w:space="0"/>
            <w:right w:val="single" w:color="B7B7B7" w:sz="4" w:space="0"/>
            <w:insideH w:val="single" w:color="B7B7B7" w:sz="4" w:space="0"/>
            <w:insideV w:val="single" w:color="B7B7B7" w:sz="4" w:space="0"/>
          </w:tblBorders>
          <w:tblLayout w:type="fixed"/>
          <w:tblCellMar>
            <w:top w:w="0" w:type="dxa"/>
            <w:left w:w="-5" w:type="dxa"/>
            <w:bottom w:w="0" w:type="dxa"/>
            <w:right w:w="0" w:type="dxa"/>
          </w:tblCellMar>
        </w:tblPrEx>
        <w:tc>
          <w:tcPr>
            <w:tcW w:w="6719" w:type="dxa"/>
            <w:tcBorders>
              <w:top w:val="single" w:color="B7B7B7" w:sz="4" w:space="0"/>
              <w:left w:val="single" w:color="B7B7B7" w:sz="4" w:space="0"/>
              <w:bottom w:val="single" w:color="B7B7B7" w:sz="4" w:space="0"/>
              <w:right w:val="single" w:color="B7B7B7" w:sz="4" w:space="0"/>
              <w:insideH w:val="single" w:sz="4" w:space="0"/>
              <w:insideV w:val="single" w:sz="4" w:space="0"/>
            </w:tcBorders>
            <w:shd w:val="clear" w:color="auto" w:fill="auto"/>
            <w:tcMar>
              <w:left w:w="-5" w:type="dxa"/>
            </w:tcMar>
          </w:tcPr>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If ReadDepth and SVDetect predicted nothing;</w:t>
            </w:r>
          </w:p>
        </w:tc>
        <w:tc>
          <w:tcPr>
            <w:tcW w:w="2640" w:type="dxa"/>
            <w:tcBorders>
              <w:top w:val="single" w:color="B7B7B7" w:sz="4" w:space="0"/>
              <w:left w:val="single" w:color="B7B7B7" w:sz="4" w:space="0"/>
              <w:bottom w:val="single" w:color="B7B7B7" w:sz="4" w:space="0"/>
              <w:right w:val="single" w:color="B7B7B7" w:sz="4" w:space="0"/>
              <w:insideH w:val="single" w:sz="4" w:space="0"/>
              <w:insideV w:val="single" w:sz="4" w:space="0"/>
            </w:tcBorders>
            <w:shd w:val="clear" w:color="auto" w:fill="auto"/>
            <w:tcMar>
              <w:left w:w="-5" w:type="dxa"/>
            </w:tcMar>
          </w:tcPr>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sz w:val="18"/>
                <w:szCs w:val="18"/>
              </w:rPr>
            </w:pPr>
            <w:r>
              <w:rPr>
                <w:rFonts w:ascii="Times New Roman" w:hAnsi="Times New Roman" w:eastAsia="Times New Roman" w:cs="Times New Roman"/>
                <w:i/>
                <w:iCs/>
                <w:sz w:val="18"/>
                <w:szCs w:val="18"/>
              </w:rPr>
              <w:t>CN</w:t>
            </w:r>
            <w:r>
              <w:rPr>
                <w:rFonts w:ascii="Times New Roman" w:hAnsi="Times New Roman" w:eastAsia="Times New Roman" w:cs="Times New Roman"/>
                <w:i/>
                <w:iCs/>
                <w:sz w:val="18"/>
                <w:szCs w:val="18"/>
                <w:vertAlign w:val="subscript"/>
              </w:rPr>
              <w:t>metaCNV</w:t>
            </w:r>
            <w:r>
              <w:rPr>
                <w:rFonts w:ascii="Times New Roman" w:hAnsi="Times New Roman" w:eastAsia="Times New Roman" w:cs="Times New Roman"/>
                <w:sz w:val="18"/>
                <w:szCs w:val="18"/>
              </w:rPr>
              <w:t xml:space="preserve"> = 0.0</w:t>
            </w:r>
          </w:p>
        </w:tc>
      </w:tr>
      <w:tr>
        <w:tblPrEx>
          <w:tblBorders>
            <w:top w:val="single" w:color="B7B7B7" w:sz="4" w:space="0"/>
            <w:left w:val="single" w:color="B7B7B7" w:sz="4" w:space="0"/>
            <w:bottom w:val="single" w:color="B7B7B7" w:sz="4" w:space="0"/>
            <w:right w:val="single" w:color="B7B7B7" w:sz="4" w:space="0"/>
            <w:insideH w:val="single" w:color="B7B7B7" w:sz="4" w:space="0"/>
            <w:insideV w:val="single" w:color="B7B7B7" w:sz="4" w:space="0"/>
          </w:tblBorders>
          <w:tblLayout w:type="fixed"/>
          <w:tblCellMar>
            <w:top w:w="0" w:type="dxa"/>
            <w:left w:w="-5" w:type="dxa"/>
            <w:bottom w:w="0" w:type="dxa"/>
            <w:right w:w="0" w:type="dxa"/>
          </w:tblCellMar>
        </w:tblPrEx>
        <w:tc>
          <w:tcPr>
            <w:tcW w:w="6719" w:type="dxa"/>
            <w:tcBorders>
              <w:top w:val="single" w:color="B7B7B7" w:sz="4" w:space="0"/>
              <w:left w:val="single" w:color="B7B7B7" w:sz="4" w:space="0"/>
              <w:bottom w:val="single" w:color="B7B7B7" w:sz="4" w:space="0"/>
              <w:right w:val="single" w:color="B7B7B7" w:sz="4" w:space="0"/>
              <w:insideH w:val="single" w:sz="4" w:space="0"/>
              <w:insideV w:val="single" w:sz="4" w:space="0"/>
            </w:tcBorders>
            <w:shd w:val="clear" w:color="auto" w:fill="auto"/>
            <w:tcMar>
              <w:left w:w="-5" w:type="dxa"/>
            </w:tcMar>
          </w:tcPr>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If ReadDepth predicted a value, but SVDetect did not</w:t>
            </w:r>
          </w:p>
        </w:tc>
        <w:tc>
          <w:tcPr>
            <w:tcW w:w="2640" w:type="dxa"/>
            <w:tcBorders>
              <w:top w:val="single" w:color="B7B7B7" w:sz="4" w:space="0"/>
              <w:left w:val="single" w:color="B7B7B7" w:sz="4" w:space="0"/>
              <w:bottom w:val="single" w:color="B7B7B7" w:sz="4" w:space="0"/>
              <w:right w:val="single" w:color="B7B7B7" w:sz="4" w:space="0"/>
              <w:insideH w:val="single" w:sz="4" w:space="0"/>
              <w:insideV w:val="single" w:sz="4" w:space="0"/>
            </w:tcBorders>
            <w:shd w:val="clear" w:color="auto" w:fill="auto"/>
            <w:tcMar>
              <w:left w:w="-5" w:type="dxa"/>
            </w:tcMar>
          </w:tcPr>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sz w:val="18"/>
                <w:szCs w:val="18"/>
              </w:rPr>
            </w:pPr>
            <w:r>
              <w:rPr>
                <w:rFonts w:ascii="Times New Roman" w:hAnsi="Times New Roman" w:eastAsia="Times New Roman" w:cs="Times New Roman"/>
                <w:i/>
                <w:iCs/>
                <w:sz w:val="18"/>
                <w:szCs w:val="18"/>
              </w:rPr>
              <w:t>CN</w:t>
            </w:r>
            <w:r>
              <w:rPr>
                <w:rFonts w:ascii="Times New Roman" w:hAnsi="Times New Roman" w:eastAsia="Times New Roman" w:cs="Times New Roman"/>
                <w:i/>
                <w:iCs/>
                <w:sz w:val="18"/>
                <w:szCs w:val="18"/>
                <w:vertAlign w:val="subscript"/>
              </w:rPr>
              <w:t>metaCNV</w:t>
            </w:r>
            <w:r>
              <w:rPr>
                <w:rFonts w:ascii="Times New Roman" w:hAnsi="Times New Roman" w:eastAsia="Times New Roman" w:cs="Times New Roman"/>
                <w:sz w:val="18"/>
                <w:szCs w:val="18"/>
              </w:rPr>
              <w:t xml:space="preserve"> = </w:t>
            </w:r>
            <w:r>
              <w:rPr>
                <w:rFonts w:ascii="Times New Roman" w:hAnsi="Times New Roman" w:eastAsia="Times New Roman" w:cs="Times New Roman"/>
                <w:i/>
                <w:iCs/>
                <w:sz w:val="18"/>
                <w:szCs w:val="18"/>
              </w:rPr>
              <w:t>CN</w:t>
            </w:r>
            <w:r>
              <w:rPr>
                <w:rFonts w:ascii="Times New Roman" w:hAnsi="Times New Roman" w:eastAsia="Times New Roman" w:cs="Times New Roman"/>
                <w:i/>
                <w:iCs/>
                <w:sz w:val="18"/>
                <w:szCs w:val="18"/>
                <w:vertAlign w:val="subscript"/>
              </w:rPr>
              <w:t>RD</w:t>
            </w:r>
          </w:p>
        </w:tc>
      </w:tr>
      <w:tr>
        <w:tblPrEx>
          <w:tblBorders>
            <w:top w:val="single" w:color="B7B7B7" w:sz="4" w:space="0"/>
            <w:left w:val="single" w:color="B7B7B7" w:sz="4" w:space="0"/>
            <w:bottom w:val="single" w:color="B7B7B7" w:sz="4" w:space="0"/>
            <w:right w:val="single" w:color="B7B7B7" w:sz="4" w:space="0"/>
            <w:insideH w:val="single" w:color="B7B7B7" w:sz="4" w:space="0"/>
            <w:insideV w:val="single" w:color="B7B7B7" w:sz="4" w:space="0"/>
          </w:tblBorders>
          <w:tblLayout w:type="fixed"/>
        </w:tblPrEx>
        <w:tc>
          <w:tcPr>
            <w:tcW w:w="6719" w:type="dxa"/>
            <w:tcBorders>
              <w:top w:val="single" w:color="B7B7B7" w:sz="4" w:space="0"/>
              <w:left w:val="single" w:color="B7B7B7" w:sz="4" w:space="0"/>
              <w:bottom w:val="single" w:color="B7B7B7" w:sz="4" w:space="0"/>
              <w:right w:val="single" w:color="B7B7B7" w:sz="4" w:space="0"/>
              <w:insideH w:val="single" w:sz="4" w:space="0"/>
              <w:insideV w:val="single" w:sz="4" w:space="0"/>
            </w:tcBorders>
            <w:shd w:val="clear" w:color="auto" w:fill="auto"/>
            <w:tcMar>
              <w:left w:w="-5" w:type="dxa"/>
            </w:tcMar>
          </w:tcPr>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If both, ReadDepth and SVDetect predicted a value</w:t>
            </w:r>
          </w:p>
        </w:tc>
        <w:tc>
          <w:tcPr>
            <w:tcW w:w="2640" w:type="dxa"/>
            <w:tcBorders>
              <w:top w:val="single" w:color="B7B7B7" w:sz="4" w:space="0"/>
              <w:left w:val="single" w:color="B7B7B7" w:sz="4" w:space="0"/>
              <w:bottom w:val="single" w:color="B7B7B7" w:sz="4" w:space="0"/>
              <w:right w:val="single" w:color="B7B7B7" w:sz="4" w:space="0"/>
              <w:insideH w:val="single" w:sz="4" w:space="0"/>
              <w:insideV w:val="single" w:sz="4" w:space="0"/>
            </w:tcBorders>
            <w:shd w:val="clear" w:color="auto" w:fill="auto"/>
            <w:tcMar>
              <w:left w:w="-5" w:type="dxa"/>
            </w:tcMar>
          </w:tcPr>
          <w:p>
            <w:pPr>
              <w:keepNext/>
              <w:keepLines w:val="0"/>
              <w:pageBreakBefore w:val="0"/>
              <w:widowControl w:val="0"/>
              <w:shd w:val="clear" w:fill="auto"/>
              <w:kinsoku/>
              <w:wordWrap/>
              <w:overflowPunct/>
              <w:topLinePunct w:val="0"/>
              <w:autoSpaceDE/>
              <w:autoSpaceDN/>
              <w:bidi w:val="0"/>
              <w:adjustRightInd/>
              <w:spacing w:line="480" w:lineRule="auto"/>
              <w:ind w:left="0" w:right="0" w:firstLine="0"/>
              <w:jc w:val="left"/>
              <w:textAlignment w:val="auto"/>
              <w:rPr>
                <w:rFonts w:ascii="Times New Roman" w:hAnsi="Times New Roman" w:eastAsia="Times New Roman" w:cs="Times New Roman"/>
                <w:sz w:val="18"/>
                <w:szCs w:val="18"/>
              </w:rPr>
            </w:pPr>
          </w:p>
        </w:tc>
      </w:tr>
      <w:tr>
        <w:tblPrEx>
          <w:tblBorders>
            <w:top w:val="single" w:color="B7B7B7" w:sz="4" w:space="0"/>
            <w:left w:val="single" w:color="B7B7B7" w:sz="4" w:space="0"/>
            <w:bottom w:val="single" w:color="B7B7B7" w:sz="4" w:space="0"/>
            <w:right w:val="single" w:color="B7B7B7" w:sz="4" w:space="0"/>
            <w:insideH w:val="single" w:color="B7B7B7" w:sz="4" w:space="0"/>
            <w:insideV w:val="single" w:color="B7B7B7" w:sz="4" w:space="0"/>
          </w:tblBorders>
          <w:tblLayout w:type="fixed"/>
          <w:tblCellMar>
            <w:top w:w="0" w:type="dxa"/>
            <w:left w:w="-5" w:type="dxa"/>
            <w:bottom w:w="0" w:type="dxa"/>
            <w:right w:w="0" w:type="dxa"/>
          </w:tblCellMar>
        </w:tblPrEx>
        <w:tc>
          <w:tcPr>
            <w:tcW w:w="6719" w:type="dxa"/>
            <w:tcBorders>
              <w:top w:val="single" w:color="B7B7B7" w:sz="4" w:space="0"/>
              <w:left w:val="single" w:color="B7B7B7" w:sz="4" w:space="0"/>
              <w:bottom w:val="single" w:color="B7B7B7" w:sz="4" w:space="0"/>
              <w:right w:val="single" w:color="B7B7B7" w:sz="4" w:space="0"/>
              <w:insideH w:val="single" w:sz="4" w:space="0"/>
              <w:insideV w:val="single" w:sz="4" w:space="0"/>
            </w:tcBorders>
            <w:shd w:val="clear" w:color="auto" w:fill="auto"/>
            <w:tcMar>
              <w:left w:w="-5" w:type="dxa"/>
            </w:tcMar>
          </w:tcPr>
          <w:p>
            <w:pPr>
              <w:pageBreakBefore w:val="0"/>
              <w:numPr>
                <w:ilvl w:val="0"/>
                <w:numId w:val="1"/>
              </w:numPr>
              <w:kinsoku/>
              <w:wordWrap/>
              <w:overflowPunct/>
              <w:topLinePunct w:val="0"/>
              <w:autoSpaceDE/>
              <w:autoSpaceDN/>
              <w:bidi w:val="0"/>
              <w:adjustRightInd/>
              <w:spacing w:line="480" w:lineRule="auto"/>
              <w:ind w:left="900" w:hanging="180"/>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 xml:space="preserve">If ReadDepth predicted a value &lt; </w:t>
            </w:r>
            <w:r>
              <w:rPr>
                <w:rFonts w:ascii="Times New Roman" w:hAnsi="Times New Roman" w:eastAsia="Times New Roman" w:cs="Times New Roman"/>
                <w:i/>
                <w:iCs/>
                <w:sz w:val="18"/>
                <w:szCs w:val="18"/>
              </w:rPr>
              <w:t>T2</w:t>
            </w:r>
            <w:r>
              <w:rPr>
                <w:rFonts w:ascii="Times New Roman" w:hAnsi="Times New Roman" w:eastAsia="Times New Roman" w:cs="Times New Roman"/>
                <w:sz w:val="18"/>
                <w:szCs w:val="18"/>
              </w:rPr>
              <w:t xml:space="preserve"> and SVDetect predicted a value &gt; </w:t>
            </w:r>
            <w:r>
              <w:rPr>
                <w:rFonts w:ascii="Times New Roman" w:hAnsi="Times New Roman" w:eastAsia="Times New Roman" w:cs="Times New Roman"/>
                <w:i/>
                <w:iCs/>
                <w:sz w:val="18"/>
                <w:szCs w:val="18"/>
              </w:rPr>
              <w:t>T2</w:t>
            </w:r>
            <w:r>
              <w:rPr>
                <w:rFonts w:ascii="Times New Roman" w:hAnsi="Times New Roman" w:eastAsia="Times New Roman" w:cs="Times New Roman"/>
                <w:sz w:val="18"/>
                <w:szCs w:val="18"/>
              </w:rPr>
              <w:t xml:space="preserve"> (conflict)</w:t>
            </w:r>
          </w:p>
        </w:tc>
        <w:tc>
          <w:tcPr>
            <w:tcW w:w="2640" w:type="dxa"/>
            <w:tcBorders>
              <w:top w:val="single" w:color="B7B7B7" w:sz="4" w:space="0"/>
              <w:left w:val="single" w:color="B7B7B7" w:sz="4" w:space="0"/>
              <w:bottom w:val="single" w:color="B7B7B7" w:sz="4" w:space="0"/>
              <w:right w:val="single" w:color="B7B7B7" w:sz="4" w:space="0"/>
              <w:insideH w:val="single" w:sz="4" w:space="0"/>
              <w:insideV w:val="single" w:sz="4" w:space="0"/>
            </w:tcBorders>
            <w:shd w:val="clear" w:color="auto" w:fill="auto"/>
            <w:tcMar>
              <w:left w:w="-5" w:type="dxa"/>
            </w:tcMar>
          </w:tcPr>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sz w:val="18"/>
                <w:szCs w:val="18"/>
              </w:rPr>
            </w:pPr>
            <w:r>
              <w:rPr>
                <w:rFonts w:ascii="Times New Roman" w:hAnsi="Times New Roman" w:eastAsia="Times New Roman" w:cs="Times New Roman"/>
                <w:i/>
                <w:iCs/>
                <w:sz w:val="18"/>
                <w:szCs w:val="18"/>
              </w:rPr>
              <w:t>CN</w:t>
            </w:r>
            <w:r>
              <w:rPr>
                <w:rFonts w:ascii="Times New Roman" w:hAnsi="Times New Roman" w:eastAsia="Times New Roman" w:cs="Times New Roman"/>
                <w:i/>
                <w:iCs/>
                <w:sz w:val="18"/>
                <w:szCs w:val="18"/>
                <w:vertAlign w:val="subscript"/>
              </w:rPr>
              <w:t>metaCNV</w:t>
            </w:r>
            <w:r>
              <w:rPr>
                <w:rFonts w:ascii="Times New Roman" w:hAnsi="Times New Roman" w:eastAsia="Times New Roman" w:cs="Times New Roman"/>
                <w:sz w:val="18"/>
                <w:szCs w:val="18"/>
              </w:rPr>
              <w:t xml:space="preserve"> =</w:t>
            </w:r>
            <w:r>
              <w:rPr>
                <w:rFonts w:ascii="Times New Roman" w:hAnsi="Times New Roman" w:eastAsia="Times New Roman" w:cs="Times New Roman"/>
                <w:i/>
                <w:iCs/>
                <w:sz w:val="18"/>
                <w:szCs w:val="18"/>
              </w:rPr>
              <w:t xml:space="preserve"> CN</w:t>
            </w:r>
            <w:r>
              <w:rPr>
                <w:rFonts w:ascii="Times New Roman" w:hAnsi="Times New Roman" w:eastAsia="Times New Roman" w:cs="Times New Roman"/>
                <w:i/>
                <w:iCs/>
                <w:sz w:val="18"/>
                <w:szCs w:val="18"/>
                <w:vertAlign w:val="subscript"/>
              </w:rPr>
              <w:t>RD</w:t>
            </w:r>
            <w:r>
              <w:rPr>
                <w:rFonts w:ascii="Times New Roman" w:hAnsi="Times New Roman" w:eastAsia="Times New Roman" w:cs="Times New Roman"/>
                <w:sz w:val="18"/>
                <w:szCs w:val="18"/>
              </w:rPr>
              <w:t xml:space="preserve"> or </w:t>
            </w:r>
            <w:r>
              <w:rPr>
                <w:rFonts w:ascii="Times New Roman" w:hAnsi="Times New Roman" w:eastAsia="Times New Roman" w:cs="Times New Roman"/>
                <w:i/>
                <w:iCs/>
                <w:sz w:val="18"/>
                <w:szCs w:val="18"/>
              </w:rPr>
              <w:t>CN</w:t>
            </w:r>
            <w:r>
              <w:rPr>
                <w:rFonts w:ascii="Times New Roman" w:hAnsi="Times New Roman" w:eastAsia="Times New Roman" w:cs="Times New Roman"/>
                <w:i/>
                <w:iCs/>
                <w:sz w:val="18"/>
                <w:szCs w:val="18"/>
                <w:vertAlign w:val="subscript"/>
              </w:rPr>
              <w:t>SV</w:t>
            </w:r>
            <w:r>
              <w:rPr>
                <w:rFonts w:ascii="Times New Roman" w:hAnsi="Times New Roman" w:eastAsia="Times New Roman" w:cs="Times New Roman"/>
                <w:sz w:val="18"/>
                <w:szCs w:val="18"/>
              </w:rPr>
              <w:t xml:space="preserve"> depending on CNVnator</w:t>
            </w:r>
          </w:p>
        </w:tc>
      </w:tr>
      <w:tr>
        <w:tblPrEx>
          <w:tblBorders>
            <w:top w:val="single" w:color="B7B7B7" w:sz="4" w:space="0"/>
            <w:left w:val="single" w:color="B7B7B7" w:sz="4" w:space="0"/>
            <w:bottom w:val="single" w:color="B7B7B7" w:sz="4" w:space="0"/>
            <w:right w:val="single" w:color="B7B7B7" w:sz="4" w:space="0"/>
            <w:insideH w:val="single" w:color="B7B7B7" w:sz="4" w:space="0"/>
            <w:insideV w:val="single" w:color="B7B7B7" w:sz="4" w:space="0"/>
          </w:tblBorders>
          <w:tblLayout w:type="fixed"/>
          <w:tblCellMar>
            <w:top w:w="0" w:type="dxa"/>
            <w:left w:w="-5" w:type="dxa"/>
            <w:bottom w:w="0" w:type="dxa"/>
            <w:right w:w="0" w:type="dxa"/>
          </w:tblCellMar>
        </w:tblPrEx>
        <w:tc>
          <w:tcPr>
            <w:tcW w:w="6719" w:type="dxa"/>
            <w:tcBorders>
              <w:top w:val="single" w:color="B7B7B7" w:sz="4" w:space="0"/>
              <w:left w:val="single" w:color="B7B7B7" w:sz="4" w:space="0"/>
              <w:bottom w:val="single" w:color="B7B7B7" w:sz="4" w:space="0"/>
              <w:right w:val="single" w:color="B7B7B7" w:sz="4" w:space="0"/>
              <w:insideH w:val="single" w:sz="4" w:space="0"/>
              <w:insideV w:val="single" w:sz="4" w:space="0"/>
            </w:tcBorders>
            <w:shd w:val="clear" w:color="auto" w:fill="auto"/>
            <w:tcMar>
              <w:left w:w="-5" w:type="dxa"/>
            </w:tcMar>
          </w:tcPr>
          <w:p>
            <w:pPr>
              <w:pageBreakBefore w:val="0"/>
              <w:numPr>
                <w:ilvl w:val="0"/>
                <w:numId w:val="2"/>
              </w:numPr>
              <w:kinsoku/>
              <w:wordWrap/>
              <w:overflowPunct/>
              <w:topLinePunct w:val="0"/>
              <w:autoSpaceDE/>
              <w:autoSpaceDN/>
              <w:bidi w:val="0"/>
              <w:adjustRightInd/>
              <w:spacing w:line="480" w:lineRule="auto"/>
              <w:ind w:left="900" w:hanging="180"/>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 xml:space="preserve">If ReadDepth predicted a value &gt; </w:t>
            </w:r>
            <w:r>
              <w:rPr>
                <w:rFonts w:ascii="Times New Roman" w:hAnsi="Times New Roman" w:eastAsia="Times New Roman" w:cs="Times New Roman"/>
                <w:i/>
                <w:iCs/>
                <w:sz w:val="18"/>
                <w:szCs w:val="18"/>
              </w:rPr>
              <w:t>T2</w:t>
            </w:r>
            <w:r>
              <w:rPr>
                <w:rFonts w:ascii="Times New Roman" w:hAnsi="Times New Roman" w:eastAsia="Times New Roman" w:cs="Times New Roman"/>
                <w:sz w:val="18"/>
                <w:szCs w:val="18"/>
              </w:rPr>
              <w:t xml:space="preserve"> and SVDetect predicted a value &lt;</w:t>
            </w:r>
            <w:r>
              <w:rPr>
                <w:rFonts w:ascii="Times New Roman" w:hAnsi="Times New Roman" w:eastAsia="Times New Roman" w:cs="Times New Roman"/>
                <w:i/>
                <w:iCs/>
                <w:sz w:val="18"/>
                <w:szCs w:val="18"/>
              </w:rPr>
              <w:t xml:space="preserve"> T2</w:t>
            </w:r>
            <w:r>
              <w:rPr>
                <w:rFonts w:ascii="Times New Roman" w:hAnsi="Times New Roman" w:eastAsia="Times New Roman" w:cs="Times New Roman"/>
                <w:sz w:val="18"/>
                <w:szCs w:val="18"/>
              </w:rPr>
              <w:t xml:space="preserve"> (conflict)</w:t>
            </w:r>
          </w:p>
        </w:tc>
        <w:tc>
          <w:tcPr>
            <w:tcW w:w="2640" w:type="dxa"/>
            <w:tcBorders>
              <w:top w:val="single" w:color="B7B7B7" w:sz="4" w:space="0"/>
              <w:left w:val="single" w:color="B7B7B7" w:sz="4" w:space="0"/>
              <w:bottom w:val="single" w:color="B7B7B7" w:sz="4" w:space="0"/>
              <w:right w:val="single" w:color="B7B7B7" w:sz="4" w:space="0"/>
              <w:insideH w:val="single" w:sz="4" w:space="0"/>
              <w:insideV w:val="single" w:sz="4" w:space="0"/>
            </w:tcBorders>
            <w:shd w:val="clear" w:color="auto" w:fill="auto"/>
            <w:tcMar>
              <w:left w:w="-5" w:type="dxa"/>
            </w:tcMar>
          </w:tcPr>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sz w:val="18"/>
                <w:szCs w:val="18"/>
              </w:rPr>
            </w:pPr>
            <w:r>
              <w:rPr>
                <w:rFonts w:ascii="Times New Roman" w:hAnsi="Times New Roman" w:eastAsia="Times New Roman" w:cs="Times New Roman"/>
                <w:i/>
                <w:iCs/>
                <w:sz w:val="18"/>
                <w:szCs w:val="18"/>
              </w:rPr>
              <w:t>CN</w:t>
            </w:r>
            <w:r>
              <w:rPr>
                <w:rFonts w:ascii="Times New Roman" w:hAnsi="Times New Roman" w:eastAsia="Times New Roman" w:cs="Times New Roman"/>
                <w:i/>
                <w:iCs/>
                <w:sz w:val="18"/>
                <w:szCs w:val="18"/>
                <w:vertAlign w:val="subscript"/>
              </w:rPr>
              <w:t>metaCNV</w:t>
            </w:r>
            <w:r>
              <w:rPr>
                <w:rFonts w:ascii="Times New Roman" w:hAnsi="Times New Roman" w:eastAsia="Times New Roman" w:cs="Times New Roman"/>
                <w:sz w:val="18"/>
                <w:szCs w:val="18"/>
              </w:rPr>
              <w:t xml:space="preserve"> = </w:t>
            </w:r>
            <w:r>
              <w:rPr>
                <w:rFonts w:ascii="Times New Roman" w:hAnsi="Times New Roman" w:eastAsia="Times New Roman" w:cs="Times New Roman"/>
                <w:i/>
                <w:iCs/>
                <w:sz w:val="18"/>
                <w:szCs w:val="18"/>
              </w:rPr>
              <w:t>CN</w:t>
            </w:r>
            <w:r>
              <w:rPr>
                <w:rFonts w:ascii="Times New Roman" w:hAnsi="Times New Roman" w:eastAsia="Times New Roman" w:cs="Times New Roman"/>
                <w:i/>
                <w:iCs/>
                <w:sz w:val="18"/>
                <w:szCs w:val="18"/>
                <w:vertAlign w:val="subscript"/>
              </w:rPr>
              <w:t>RD</w:t>
            </w:r>
            <w:r>
              <w:rPr>
                <w:rFonts w:ascii="Times New Roman" w:hAnsi="Times New Roman" w:eastAsia="Times New Roman" w:cs="Times New Roman"/>
                <w:sz w:val="18"/>
                <w:szCs w:val="18"/>
              </w:rPr>
              <w:t xml:space="preserve"> or </w:t>
            </w:r>
            <w:r>
              <w:rPr>
                <w:rFonts w:ascii="Times New Roman" w:hAnsi="Times New Roman" w:eastAsia="Times New Roman" w:cs="Times New Roman"/>
                <w:i/>
                <w:iCs/>
                <w:sz w:val="18"/>
                <w:szCs w:val="18"/>
              </w:rPr>
              <w:t>CN</w:t>
            </w:r>
            <w:r>
              <w:rPr>
                <w:rFonts w:ascii="Times New Roman" w:hAnsi="Times New Roman" w:eastAsia="Times New Roman" w:cs="Times New Roman"/>
                <w:i/>
                <w:iCs/>
                <w:sz w:val="18"/>
                <w:szCs w:val="18"/>
                <w:vertAlign w:val="subscript"/>
              </w:rPr>
              <w:t>SV</w:t>
            </w:r>
            <w:r>
              <w:rPr>
                <w:rFonts w:ascii="Times New Roman" w:hAnsi="Times New Roman" w:eastAsia="Times New Roman" w:cs="Times New Roman"/>
                <w:sz w:val="18"/>
                <w:szCs w:val="18"/>
              </w:rPr>
              <w:t xml:space="preserve"> depending on CNVnator</w:t>
            </w:r>
          </w:p>
        </w:tc>
      </w:tr>
      <w:tr>
        <w:tblPrEx>
          <w:tblBorders>
            <w:top w:val="single" w:color="B7B7B7" w:sz="4" w:space="0"/>
            <w:left w:val="single" w:color="B7B7B7" w:sz="4" w:space="0"/>
            <w:bottom w:val="single" w:color="B7B7B7" w:sz="4" w:space="0"/>
            <w:right w:val="single" w:color="B7B7B7" w:sz="4" w:space="0"/>
            <w:insideH w:val="single" w:color="B7B7B7" w:sz="4" w:space="0"/>
            <w:insideV w:val="single" w:color="B7B7B7" w:sz="4" w:space="0"/>
          </w:tblBorders>
          <w:tblLayout w:type="fixed"/>
          <w:tblCellMar>
            <w:top w:w="0" w:type="dxa"/>
            <w:left w:w="-5" w:type="dxa"/>
            <w:bottom w:w="0" w:type="dxa"/>
            <w:right w:w="0" w:type="dxa"/>
          </w:tblCellMar>
        </w:tblPrEx>
        <w:tc>
          <w:tcPr>
            <w:tcW w:w="6719" w:type="dxa"/>
            <w:tcBorders>
              <w:top w:val="single" w:color="B7B7B7" w:sz="4" w:space="0"/>
              <w:left w:val="single" w:color="B7B7B7" w:sz="4" w:space="0"/>
              <w:bottom w:val="single" w:color="B7B7B7" w:sz="4" w:space="0"/>
              <w:right w:val="single" w:color="B7B7B7" w:sz="4" w:space="0"/>
              <w:insideH w:val="single" w:sz="4" w:space="0"/>
              <w:insideV w:val="single" w:sz="4" w:space="0"/>
            </w:tcBorders>
            <w:shd w:val="clear" w:color="auto" w:fill="auto"/>
            <w:tcMar>
              <w:left w:w="-5" w:type="dxa"/>
            </w:tcMar>
          </w:tcPr>
          <w:p>
            <w:pPr>
              <w:pageBreakBefore w:val="0"/>
              <w:numPr>
                <w:ilvl w:val="0"/>
                <w:numId w:val="3"/>
              </w:numPr>
              <w:kinsoku/>
              <w:wordWrap/>
              <w:overflowPunct/>
              <w:topLinePunct w:val="0"/>
              <w:autoSpaceDE/>
              <w:autoSpaceDN/>
              <w:bidi w:val="0"/>
              <w:adjustRightInd/>
              <w:spacing w:line="480" w:lineRule="auto"/>
              <w:ind w:left="900" w:hanging="180"/>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If ReadDepth predicted a value &lt;</w:t>
            </w:r>
            <w:r>
              <w:rPr>
                <w:rFonts w:ascii="Times New Roman" w:hAnsi="Times New Roman" w:eastAsia="Times New Roman" w:cs="Times New Roman"/>
                <w:i/>
                <w:iCs/>
                <w:sz w:val="18"/>
                <w:szCs w:val="18"/>
              </w:rPr>
              <w:t xml:space="preserve"> T2</w:t>
            </w:r>
            <w:r>
              <w:rPr>
                <w:rFonts w:ascii="Times New Roman" w:hAnsi="Times New Roman" w:eastAsia="Times New Roman" w:cs="Times New Roman"/>
                <w:sz w:val="18"/>
                <w:szCs w:val="18"/>
              </w:rPr>
              <w:t xml:space="preserve"> and SVDetect predicted a value &lt; </w:t>
            </w:r>
            <w:r>
              <w:rPr>
                <w:rFonts w:ascii="Times New Roman" w:hAnsi="Times New Roman" w:eastAsia="Times New Roman" w:cs="Times New Roman"/>
                <w:i/>
                <w:iCs/>
                <w:sz w:val="18"/>
                <w:szCs w:val="18"/>
              </w:rPr>
              <w:t>T2</w:t>
            </w:r>
            <w:r>
              <w:rPr>
                <w:rFonts w:ascii="Times New Roman" w:hAnsi="Times New Roman" w:eastAsia="Times New Roman" w:cs="Times New Roman"/>
                <w:sz w:val="18"/>
                <w:szCs w:val="18"/>
              </w:rPr>
              <w:t xml:space="preserve"> (agreement)</w:t>
            </w:r>
          </w:p>
        </w:tc>
        <w:tc>
          <w:tcPr>
            <w:tcW w:w="2640" w:type="dxa"/>
            <w:tcBorders>
              <w:top w:val="single" w:color="B7B7B7" w:sz="4" w:space="0"/>
              <w:left w:val="single" w:color="B7B7B7" w:sz="4" w:space="0"/>
              <w:bottom w:val="single" w:color="B7B7B7" w:sz="4" w:space="0"/>
              <w:right w:val="single" w:color="B7B7B7" w:sz="4" w:space="0"/>
              <w:insideH w:val="single" w:sz="4" w:space="0"/>
              <w:insideV w:val="single" w:sz="4" w:space="0"/>
            </w:tcBorders>
            <w:shd w:val="clear" w:color="auto" w:fill="auto"/>
            <w:tcMar>
              <w:left w:w="-5" w:type="dxa"/>
            </w:tcMar>
          </w:tcPr>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sz w:val="18"/>
                <w:szCs w:val="18"/>
                <w:vertAlign w:val="subscript"/>
              </w:rPr>
            </w:pPr>
            <w:r>
              <w:rPr>
                <w:rFonts w:ascii="Times New Roman" w:hAnsi="Times New Roman" w:eastAsia="Times New Roman" w:cs="Times New Roman"/>
                <w:i/>
                <w:iCs/>
                <w:sz w:val="18"/>
                <w:szCs w:val="18"/>
              </w:rPr>
              <w:t>CN</w:t>
            </w:r>
            <w:r>
              <w:rPr>
                <w:rFonts w:ascii="Times New Roman" w:hAnsi="Times New Roman" w:eastAsia="Times New Roman" w:cs="Times New Roman"/>
                <w:i/>
                <w:iCs/>
                <w:sz w:val="18"/>
                <w:szCs w:val="18"/>
                <w:vertAlign w:val="subscript"/>
              </w:rPr>
              <w:t>metaCNV</w:t>
            </w:r>
            <w:r>
              <w:rPr>
                <w:rFonts w:ascii="Times New Roman" w:hAnsi="Times New Roman" w:eastAsia="Times New Roman" w:cs="Times New Roman"/>
                <w:sz w:val="18"/>
                <w:szCs w:val="18"/>
              </w:rPr>
              <w:t xml:space="preserve"> = </w:t>
            </w:r>
            <w:r>
              <w:rPr>
                <w:rFonts w:ascii="Times New Roman" w:hAnsi="Times New Roman" w:eastAsia="Times New Roman" w:cs="Times New Roman"/>
                <w:i/>
                <w:iCs/>
                <w:sz w:val="18"/>
                <w:szCs w:val="18"/>
              </w:rPr>
              <w:t>CN</w:t>
            </w:r>
            <w:r>
              <w:rPr>
                <w:rFonts w:ascii="Times New Roman" w:hAnsi="Times New Roman" w:eastAsia="Times New Roman" w:cs="Times New Roman"/>
                <w:i/>
                <w:iCs/>
                <w:sz w:val="18"/>
                <w:szCs w:val="18"/>
                <w:vertAlign w:val="subscript"/>
              </w:rPr>
              <w:t>RD</w:t>
            </w:r>
          </w:p>
        </w:tc>
      </w:tr>
      <w:tr>
        <w:tblPrEx>
          <w:tblBorders>
            <w:top w:val="single" w:color="B7B7B7" w:sz="4" w:space="0"/>
            <w:left w:val="single" w:color="B7B7B7" w:sz="4" w:space="0"/>
            <w:bottom w:val="single" w:color="B7B7B7" w:sz="4" w:space="0"/>
            <w:right w:val="single" w:color="B7B7B7" w:sz="4" w:space="0"/>
            <w:insideH w:val="single" w:color="B7B7B7" w:sz="4" w:space="0"/>
            <w:insideV w:val="single" w:color="B7B7B7" w:sz="4" w:space="0"/>
          </w:tblBorders>
          <w:tblLayout w:type="fixed"/>
          <w:tblCellMar>
            <w:top w:w="0" w:type="dxa"/>
            <w:left w:w="-5" w:type="dxa"/>
            <w:bottom w:w="0" w:type="dxa"/>
            <w:right w:w="0" w:type="dxa"/>
          </w:tblCellMar>
        </w:tblPrEx>
        <w:tc>
          <w:tcPr>
            <w:tcW w:w="6719" w:type="dxa"/>
            <w:tcBorders>
              <w:top w:val="single" w:color="B7B7B7" w:sz="4" w:space="0"/>
              <w:left w:val="single" w:color="B7B7B7" w:sz="4" w:space="0"/>
              <w:bottom w:val="single" w:color="B7B7B7" w:sz="4" w:space="0"/>
              <w:right w:val="single" w:color="B7B7B7" w:sz="4" w:space="0"/>
              <w:insideH w:val="single" w:sz="4" w:space="0"/>
              <w:insideV w:val="single" w:sz="4" w:space="0"/>
            </w:tcBorders>
            <w:shd w:val="clear" w:color="auto" w:fill="auto"/>
            <w:tcMar>
              <w:left w:w="-5" w:type="dxa"/>
            </w:tcMar>
          </w:tcPr>
          <w:p>
            <w:pPr>
              <w:pageBreakBefore w:val="0"/>
              <w:numPr>
                <w:ilvl w:val="0"/>
                <w:numId w:val="4"/>
              </w:numPr>
              <w:kinsoku/>
              <w:wordWrap/>
              <w:overflowPunct/>
              <w:topLinePunct w:val="0"/>
              <w:autoSpaceDE/>
              <w:autoSpaceDN/>
              <w:bidi w:val="0"/>
              <w:adjustRightInd/>
              <w:spacing w:line="480" w:lineRule="auto"/>
              <w:ind w:left="900" w:hanging="180"/>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 xml:space="preserve">If ReadDepth predicted a value &gt; </w:t>
            </w:r>
            <w:r>
              <w:rPr>
                <w:rFonts w:ascii="Times New Roman" w:hAnsi="Times New Roman" w:eastAsia="Times New Roman" w:cs="Times New Roman"/>
                <w:i/>
                <w:iCs/>
                <w:sz w:val="18"/>
                <w:szCs w:val="18"/>
              </w:rPr>
              <w:t>T1</w:t>
            </w:r>
            <w:r>
              <w:rPr>
                <w:rFonts w:ascii="Times New Roman" w:hAnsi="Times New Roman" w:eastAsia="Times New Roman" w:cs="Times New Roman"/>
                <w:sz w:val="18"/>
                <w:szCs w:val="18"/>
              </w:rPr>
              <w:t xml:space="preserve"> &amp; SVDetect predicted a value &gt; </w:t>
            </w:r>
            <w:r>
              <w:rPr>
                <w:rFonts w:ascii="Times New Roman" w:hAnsi="Times New Roman" w:eastAsia="Times New Roman" w:cs="Times New Roman"/>
                <w:i/>
                <w:iCs/>
                <w:sz w:val="18"/>
                <w:szCs w:val="18"/>
              </w:rPr>
              <w:t>T2</w:t>
            </w:r>
            <w:r>
              <w:rPr>
                <w:rFonts w:ascii="Times New Roman" w:hAnsi="Times New Roman" w:eastAsia="Times New Roman" w:cs="Times New Roman"/>
                <w:sz w:val="18"/>
                <w:szCs w:val="18"/>
              </w:rPr>
              <w:t xml:space="preserve"> (agreement)</w:t>
            </w:r>
          </w:p>
        </w:tc>
        <w:tc>
          <w:tcPr>
            <w:tcW w:w="2640" w:type="dxa"/>
            <w:tcBorders>
              <w:top w:val="single" w:color="B7B7B7" w:sz="4" w:space="0"/>
              <w:left w:val="single" w:color="B7B7B7" w:sz="4" w:space="0"/>
              <w:bottom w:val="single" w:color="B7B7B7" w:sz="4" w:space="0"/>
              <w:right w:val="single" w:color="B7B7B7" w:sz="4" w:space="0"/>
              <w:insideH w:val="single" w:sz="4" w:space="0"/>
              <w:insideV w:val="single" w:sz="4" w:space="0"/>
            </w:tcBorders>
            <w:shd w:val="clear" w:color="auto" w:fill="auto"/>
            <w:tcMar>
              <w:left w:w="-5" w:type="dxa"/>
            </w:tcMar>
          </w:tcPr>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sz w:val="18"/>
                <w:szCs w:val="18"/>
              </w:rPr>
            </w:pPr>
            <w:r>
              <w:rPr>
                <w:rFonts w:ascii="Times New Roman" w:hAnsi="Times New Roman" w:eastAsia="Times New Roman" w:cs="Times New Roman"/>
                <w:i/>
                <w:iCs/>
                <w:sz w:val="18"/>
                <w:szCs w:val="18"/>
              </w:rPr>
              <w:t>CN</w:t>
            </w:r>
            <w:r>
              <w:rPr>
                <w:rFonts w:ascii="Times New Roman" w:hAnsi="Times New Roman" w:eastAsia="Times New Roman" w:cs="Times New Roman"/>
                <w:i/>
                <w:iCs/>
                <w:sz w:val="18"/>
                <w:szCs w:val="18"/>
                <w:vertAlign w:val="subscript"/>
              </w:rPr>
              <w:t>metaCNV</w:t>
            </w:r>
            <w:r>
              <w:rPr>
                <w:rFonts w:hint="default" w:ascii="Times New Roman" w:hAnsi="Times New Roman" w:eastAsia="Times New Roman" w:cs="Times New Roman"/>
                <w:i/>
                <w:iCs/>
                <w:sz w:val="18"/>
                <w:szCs w:val="18"/>
                <w:vertAlign w:val="subscript"/>
                <w:lang w:val="sv-SE"/>
              </w:rPr>
              <w:t xml:space="preserve"> </w:t>
            </w:r>
            <w:r>
              <w:rPr>
                <w:rFonts w:ascii="Times New Roman" w:hAnsi="Times New Roman" w:eastAsia="Times New Roman" w:cs="Times New Roman"/>
                <w:sz w:val="18"/>
                <w:szCs w:val="18"/>
              </w:rPr>
              <w:t xml:space="preserve">= </w:t>
            </w:r>
            <w:r>
              <w:rPr>
                <w:rFonts w:ascii="Times New Roman" w:hAnsi="Times New Roman" w:eastAsia="Times New Roman" w:cs="Times New Roman"/>
                <w:i/>
                <w:iCs/>
                <w:sz w:val="18"/>
                <w:szCs w:val="18"/>
              </w:rPr>
              <w:t>CN</w:t>
            </w:r>
            <w:r>
              <w:rPr>
                <w:rFonts w:ascii="Times New Roman" w:hAnsi="Times New Roman" w:eastAsia="Times New Roman" w:cs="Times New Roman"/>
                <w:i/>
                <w:iCs/>
                <w:sz w:val="18"/>
                <w:szCs w:val="18"/>
                <w:vertAlign w:val="subscript"/>
              </w:rPr>
              <w:t>SVDetect</w:t>
            </w:r>
          </w:p>
        </w:tc>
      </w:tr>
      <w:tr>
        <w:tblPrEx>
          <w:tblBorders>
            <w:top w:val="single" w:color="B7B7B7" w:sz="4" w:space="0"/>
            <w:left w:val="single" w:color="B7B7B7" w:sz="4" w:space="0"/>
            <w:bottom w:val="single" w:color="B7B7B7" w:sz="4" w:space="0"/>
            <w:right w:val="single" w:color="B7B7B7" w:sz="4" w:space="0"/>
            <w:insideH w:val="single" w:color="B7B7B7" w:sz="4" w:space="0"/>
            <w:insideV w:val="single" w:color="B7B7B7" w:sz="4" w:space="0"/>
          </w:tblBorders>
          <w:tblLayout w:type="fixed"/>
          <w:tblCellMar>
            <w:top w:w="0" w:type="dxa"/>
            <w:left w:w="-5" w:type="dxa"/>
            <w:bottom w:w="0" w:type="dxa"/>
            <w:right w:w="0" w:type="dxa"/>
          </w:tblCellMar>
        </w:tblPrEx>
        <w:tc>
          <w:tcPr>
            <w:tcW w:w="6719" w:type="dxa"/>
            <w:tcBorders>
              <w:top w:val="single" w:color="B7B7B7" w:sz="4" w:space="0"/>
              <w:left w:val="single" w:color="B7B7B7" w:sz="4" w:space="0"/>
              <w:bottom w:val="single" w:color="B7B7B7" w:sz="4" w:space="0"/>
              <w:right w:val="single" w:color="B7B7B7" w:sz="4" w:space="0"/>
              <w:insideH w:val="single" w:sz="4" w:space="0"/>
              <w:insideV w:val="single" w:sz="4" w:space="0"/>
            </w:tcBorders>
            <w:shd w:val="clear" w:color="auto" w:fill="auto"/>
            <w:tcMar>
              <w:left w:w="-5" w:type="dxa"/>
            </w:tcMar>
          </w:tcPr>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If ReadDepth predicted nothing but SVDetect did</w:t>
            </w:r>
          </w:p>
        </w:tc>
        <w:tc>
          <w:tcPr>
            <w:tcW w:w="2640" w:type="dxa"/>
            <w:tcBorders>
              <w:top w:val="single" w:color="B7B7B7" w:sz="4" w:space="0"/>
              <w:left w:val="single" w:color="B7B7B7" w:sz="4" w:space="0"/>
              <w:bottom w:val="single" w:color="B7B7B7" w:sz="4" w:space="0"/>
              <w:right w:val="single" w:color="B7B7B7" w:sz="4" w:space="0"/>
              <w:insideH w:val="single" w:sz="4" w:space="0"/>
              <w:insideV w:val="single" w:sz="4" w:space="0"/>
            </w:tcBorders>
            <w:shd w:val="clear" w:color="auto" w:fill="auto"/>
            <w:tcMar>
              <w:left w:w="-5" w:type="dxa"/>
            </w:tcMar>
          </w:tcPr>
          <w:p>
            <w:pPr>
              <w:keepNext/>
              <w:keepLines w:val="0"/>
              <w:pageBreakBefore w:val="0"/>
              <w:widowControl w:val="0"/>
              <w:shd w:val="clear" w:fill="auto"/>
              <w:kinsoku/>
              <w:wordWrap/>
              <w:overflowPunct/>
              <w:topLinePunct w:val="0"/>
              <w:autoSpaceDE/>
              <w:autoSpaceDN/>
              <w:bidi w:val="0"/>
              <w:adjustRightInd/>
              <w:spacing w:line="480" w:lineRule="auto"/>
              <w:ind w:left="0" w:right="0" w:firstLine="0"/>
              <w:jc w:val="left"/>
              <w:textAlignment w:val="auto"/>
              <w:rPr>
                <w:rFonts w:ascii="Times New Roman" w:hAnsi="Times New Roman" w:eastAsia="Times New Roman" w:cs="Times New Roman"/>
                <w:sz w:val="18"/>
                <w:szCs w:val="18"/>
              </w:rPr>
            </w:pPr>
          </w:p>
        </w:tc>
      </w:tr>
      <w:tr>
        <w:tblPrEx>
          <w:tblBorders>
            <w:top w:val="single" w:color="B7B7B7" w:sz="4" w:space="0"/>
            <w:left w:val="single" w:color="B7B7B7" w:sz="4" w:space="0"/>
            <w:bottom w:val="single" w:color="B7B7B7" w:sz="4" w:space="0"/>
            <w:right w:val="single" w:color="B7B7B7" w:sz="4" w:space="0"/>
            <w:insideH w:val="single" w:color="B7B7B7" w:sz="4" w:space="0"/>
            <w:insideV w:val="single" w:color="B7B7B7" w:sz="4" w:space="0"/>
          </w:tblBorders>
          <w:tblLayout w:type="fixed"/>
          <w:tblCellMar>
            <w:top w:w="0" w:type="dxa"/>
            <w:left w:w="-5" w:type="dxa"/>
            <w:bottom w:w="0" w:type="dxa"/>
            <w:right w:w="0" w:type="dxa"/>
          </w:tblCellMar>
        </w:tblPrEx>
        <w:tc>
          <w:tcPr>
            <w:tcW w:w="6719" w:type="dxa"/>
            <w:tcBorders>
              <w:top w:val="single" w:color="B7B7B7" w:sz="4" w:space="0"/>
              <w:left w:val="single" w:color="B7B7B7" w:sz="4" w:space="0"/>
              <w:bottom w:val="single" w:color="B7B7B7" w:sz="4" w:space="0"/>
              <w:right w:val="single" w:color="B7B7B7" w:sz="4" w:space="0"/>
              <w:insideH w:val="single" w:sz="4" w:space="0"/>
              <w:insideV w:val="single" w:sz="4" w:space="0"/>
            </w:tcBorders>
            <w:shd w:val="clear" w:color="auto" w:fill="auto"/>
            <w:tcMar>
              <w:left w:w="-5" w:type="dxa"/>
            </w:tcMar>
          </w:tcPr>
          <w:p>
            <w:pPr>
              <w:pageBreakBefore w:val="0"/>
              <w:numPr>
                <w:ilvl w:val="0"/>
                <w:numId w:val="5"/>
              </w:numPr>
              <w:kinsoku/>
              <w:wordWrap/>
              <w:overflowPunct/>
              <w:topLinePunct w:val="0"/>
              <w:autoSpaceDE/>
              <w:autoSpaceDN/>
              <w:bidi w:val="0"/>
              <w:adjustRightInd/>
              <w:spacing w:line="480" w:lineRule="auto"/>
              <w:ind w:left="900" w:hanging="180"/>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 xml:space="preserve">If </w:t>
            </w:r>
            <w:r>
              <w:rPr>
                <w:rFonts w:ascii="Times New Roman" w:hAnsi="Times New Roman" w:eastAsia="Times New Roman" w:cs="Times New Roman"/>
                <w:i/>
                <w:iCs/>
                <w:sz w:val="18"/>
                <w:szCs w:val="18"/>
              </w:rPr>
              <w:t>CN</w:t>
            </w:r>
            <w:r>
              <w:rPr>
                <w:rFonts w:ascii="Times New Roman" w:hAnsi="Times New Roman" w:eastAsia="Times New Roman" w:cs="Times New Roman"/>
                <w:i/>
                <w:iCs/>
                <w:sz w:val="18"/>
                <w:szCs w:val="18"/>
                <w:vertAlign w:val="subscript"/>
              </w:rPr>
              <w:t>SVDetect</w:t>
            </w:r>
            <w:r>
              <w:rPr>
                <w:rFonts w:ascii="Times New Roman" w:hAnsi="Times New Roman" w:eastAsia="Times New Roman" w:cs="Times New Roman"/>
                <w:i/>
                <w:iCs/>
                <w:sz w:val="18"/>
                <w:szCs w:val="18"/>
              </w:rPr>
              <w:t xml:space="preserve"> </w:t>
            </w:r>
            <w:r>
              <w:rPr>
                <w:rFonts w:ascii="Times New Roman" w:hAnsi="Times New Roman" w:eastAsia="Times New Roman" w:cs="Times New Roman"/>
                <w:sz w:val="18"/>
                <w:szCs w:val="18"/>
              </w:rPr>
              <w:t xml:space="preserve">&lt; </w:t>
            </w:r>
            <w:r>
              <w:rPr>
                <w:rFonts w:ascii="Times New Roman" w:hAnsi="Times New Roman" w:eastAsia="Times New Roman" w:cs="Times New Roman"/>
                <w:i/>
                <w:iCs/>
                <w:sz w:val="18"/>
                <w:szCs w:val="18"/>
              </w:rPr>
              <w:t>T2</w:t>
            </w:r>
          </w:p>
        </w:tc>
        <w:tc>
          <w:tcPr>
            <w:tcW w:w="2640" w:type="dxa"/>
            <w:tcBorders>
              <w:top w:val="single" w:color="B7B7B7" w:sz="4" w:space="0"/>
              <w:left w:val="single" w:color="B7B7B7" w:sz="4" w:space="0"/>
              <w:bottom w:val="single" w:color="B7B7B7" w:sz="4" w:space="0"/>
              <w:right w:val="single" w:color="B7B7B7" w:sz="4" w:space="0"/>
              <w:insideH w:val="single" w:sz="4" w:space="0"/>
              <w:insideV w:val="single" w:sz="4" w:space="0"/>
            </w:tcBorders>
            <w:shd w:val="clear" w:color="auto" w:fill="auto"/>
            <w:tcMar>
              <w:left w:w="-5" w:type="dxa"/>
            </w:tcMar>
          </w:tcPr>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sz w:val="18"/>
                <w:szCs w:val="18"/>
              </w:rPr>
            </w:pPr>
            <w:r>
              <w:rPr>
                <w:rFonts w:ascii="Times New Roman" w:hAnsi="Times New Roman" w:eastAsia="Times New Roman" w:cs="Times New Roman"/>
                <w:i/>
                <w:iCs/>
                <w:sz w:val="18"/>
                <w:szCs w:val="18"/>
              </w:rPr>
              <w:t>CN</w:t>
            </w:r>
            <w:r>
              <w:rPr>
                <w:rFonts w:ascii="Times New Roman" w:hAnsi="Times New Roman" w:eastAsia="Times New Roman" w:cs="Times New Roman"/>
                <w:i/>
                <w:iCs/>
                <w:sz w:val="18"/>
                <w:szCs w:val="18"/>
                <w:vertAlign w:val="subscript"/>
              </w:rPr>
              <w:t>metaCNV</w:t>
            </w:r>
            <w:r>
              <w:rPr>
                <w:rFonts w:ascii="Times New Roman" w:hAnsi="Times New Roman" w:eastAsia="Times New Roman" w:cs="Times New Roman"/>
                <w:sz w:val="18"/>
                <w:szCs w:val="18"/>
              </w:rPr>
              <w:t xml:space="preserve"> = 0.0</w:t>
            </w:r>
          </w:p>
        </w:tc>
      </w:tr>
      <w:tr>
        <w:tblPrEx>
          <w:tblBorders>
            <w:top w:val="single" w:color="B7B7B7" w:sz="4" w:space="0"/>
            <w:left w:val="single" w:color="B7B7B7" w:sz="4" w:space="0"/>
            <w:bottom w:val="single" w:color="B7B7B7" w:sz="4" w:space="0"/>
            <w:right w:val="single" w:color="B7B7B7" w:sz="4" w:space="0"/>
            <w:insideH w:val="single" w:color="B7B7B7" w:sz="4" w:space="0"/>
            <w:insideV w:val="single" w:color="B7B7B7" w:sz="4" w:space="0"/>
          </w:tblBorders>
          <w:tblLayout w:type="fixed"/>
          <w:tblCellMar>
            <w:top w:w="0" w:type="dxa"/>
            <w:left w:w="-5" w:type="dxa"/>
            <w:bottom w:w="0" w:type="dxa"/>
            <w:right w:w="0" w:type="dxa"/>
          </w:tblCellMar>
        </w:tblPrEx>
        <w:tc>
          <w:tcPr>
            <w:tcW w:w="6719" w:type="dxa"/>
            <w:tcBorders>
              <w:top w:val="single" w:color="B7B7B7" w:sz="4" w:space="0"/>
              <w:left w:val="single" w:color="B7B7B7" w:sz="4" w:space="0"/>
              <w:bottom w:val="single" w:color="B7B7B7" w:sz="4" w:space="0"/>
              <w:right w:val="single" w:color="B7B7B7" w:sz="4" w:space="0"/>
              <w:insideH w:val="single" w:sz="4" w:space="0"/>
              <w:insideV w:val="single" w:sz="4" w:space="0"/>
            </w:tcBorders>
            <w:shd w:val="clear" w:color="auto" w:fill="auto"/>
            <w:tcMar>
              <w:left w:w="-5" w:type="dxa"/>
            </w:tcMar>
          </w:tcPr>
          <w:p>
            <w:pPr>
              <w:pageBreakBefore w:val="0"/>
              <w:numPr>
                <w:ilvl w:val="0"/>
                <w:numId w:val="6"/>
              </w:numPr>
              <w:kinsoku/>
              <w:wordWrap/>
              <w:overflowPunct/>
              <w:topLinePunct w:val="0"/>
              <w:autoSpaceDE/>
              <w:autoSpaceDN/>
              <w:bidi w:val="0"/>
              <w:adjustRightInd/>
              <w:spacing w:line="480" w:lineRule="auto"/>
              <w:ind w:left="900" w:hanging="180"/>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 xml:space="preserve">If </w:t>
            </w:r>
            <w:r>
              <w:rPr>
                <w:rFonts w:ascii="Times New Roman" w:hAnsi="Times New Roman" w:eastAsia="Times New Roman" w:cs="Times New Roman"/>
                <w:i/>
                <w:iCs/>
                <w:sz w:val="18"/>
                <w:szCs w:val="18"/>
              </w:rPr>
              <w:t>CN</w:t>
            </w:r>
            <w:r>
              <w:rPr>
                <w:rFonts w:ascii="Times New Roman" w:hAnsi="Times New Roman" w:eastAsia="Times New Roman" w:cs="Times New Roman"/>
                <w:i/>
                <w:iCs/>
                <w:sz w:val="18"/>
                <w:szCs w:val="18"/>
                <w:vertAlign w:val="subscript"/>
              </w:rPr>
              <w:t xml:space="preserve">SVDetect </w:t>
            </w:r>
            <w:r>
              <w:rPr>
                <w:rFonts w:ascii="Times New Roman" w:hAnsi="Times New Roman" w:eastAsia="Times New Roman" w:cs="Times New Roman"/>
                <w:sz w:val="18"/>
                <w:szCs w:val="18"/>
              </w:rPr>
              <w:t xml:space="preserve">&gt; </w:t>
            </w:r>
            <w:r>
              <w:rPr>
                <w:rFonts w:ascii="Times New Roman" w:hAnsi="Times New Roman" w:eastAsia="Times New Roman" w:cs="Times New Roman"/>
                <w:i/>
                <w:iCs/>
                <w:sz w:val="18"/>
                <w:szCs w:val="18"/>
              </w:rPr>
              <w:t>T2</w:t>
            </w:r>
          </w:p>
        </w:tc>
        <w:tc>
          <w:tcPr>
            <w:tcW w:w="2640" w:type="dxa"/>
            <w:tcBorders>
              <w:top w:val="single" w:color="B7B7B7" w:sz="4" w:space="0"/>
              <w:left w:val="single" w:color="B7B7B7" w:sz="4" w:space="0"/>
              <w:bottom w:val="single" w:color="B7B7B7" w:sz="4" w:space="0"/>
              <w:right w:val="single" w:color="B7B7B7" w:sz="4" w:space="0"/>
              <w:insideH w:val="single" w:sz="4" w:space="0"/>
              <w:insideV w:val="single" w:sz="4" w:space="0"/>
            </w:tcBorders>
            <w:shd w:val="clear" w:color="auto" w:fill="auto"/>
            <w:tcMar>
              <w:left w:w="-5" w:type="dxa"/>
            </w:tcMar>
          </w:tcPr>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sz w:val="18"/>
                <w:szCs w:val="18"/>
              </w:rPr>
            </w:pPr>
            <w:r>
              <w:rPr>
                <w:rFonts w:ascii="Times New Roman" w:hAnsi="Times New Roman" w:eastAsia="Times New Roman" w:cs="Times New Roman"/>
                <w:i/>
                <w:iCs/>
                <w:sz w:val="18"/>
                <w:szCs w:val="18"/>
              </w:rPr>
              <w:t>CN</w:t>
            </w:r>
            <w:r>
              <w:rPr>
                <w:rFonts w:ascii="Times New Roman" w:hAnsi="Times New Roman" w:eastAsia="Times New Roman" w:cs="Times New Roman"/>
                <w:i/>
                <w:iCs/>
                <w:sz w:val="18"/>
                <w:szCs w:val="18"/>
                <w:vertAlign w:val="subscript"/>
              </w:rPr>
              <w:t>metaCNV</w:t>
            </w:r>
            <w:r>
              <w:rPr>
                <w:rFonts w:ascii="Times New Roman" w:hAnsi="Times New Roman" w:eastAsia="Times New Roman" w:cs="Times New Roman"/>
                <w:sz w:val="18"/>
                <w:szCs w:val="18"/>
              </w:rPr>
              <w:t xml:space="preserve"> =</w:t>
            </w:r>
            <w:r>
              <w:rPr>
                <w:rFonts w:ascii="Times New Roman" w:hAnsi="Times New Roman" w:eastAsia="Times New Roman" w:cs="Times New Roman"/>
                <w:i/>
                <w:iCs/>
                <w:sz w:val="18"/>
                <w:szCs w:val="18"/>
              </w:rPr>
              <w:t xml:space="preserve"> CN</w:t>
            </w:r>
            <w:r>
              <w:rPr>
                <w:rFonts w:ascii="Times New Roman" w:hAnsi="Times New Roman" w:eastAsia="Times New Roman" w:cs="Times New Roman"/>
                <w:i/>
                <w:iCs/>
                <w:sz w:val="18"/>
                <w:szCs w:val="18"/>
                <w:vertAlign w:val="subscript"/>
              </w:rPr>
              <w:t>SVDetect</w:t>
            </w:r>
          </w:p>
        </w:tc>
      </w:tr>
    </w:tbl>
    <w:p>
      <w:pPr>
        <w:pageBreakBefore w:val="0"/>
        <w:kinsoku/>
        <w:wordWrap/>
        <w:overflowPunct/>
        <w:topLinePunct w:val="0"/>
        <w:autoSpaceDE/>
        <w:autoSpaceDN/>
        <w:bidi w:val="0"/>
        <w:adjustRightInd/>
        <w:spacing w:line="480" w:lineRule="auto"/>
        <w:jc w:val="both"/>
        <w:textAlignment w:val="auto"/>
        <w:rPr>
          <w:rFonts w:ascii="Times New Roman" w:hAnsi="Times New Roman" w:eastAsia="Times New Roman" w:cs="Times New Roman"/>
        </w:rPr>
      </w:pPr>
    </w:p>
    <w:p>
      <w:pPr>
        <w:pStyle w:val="4"/>
        <w:keepNext/>
        <w:keepLines w:val="0"/>
        <w:pageBreakBefore w:val="0"/>
        <w:kinsoku/>
        <w:wordWrap/>
        <w:overflowPunct/>
        <w:topLinePunct w:val="0"/>
        <w:autoSpaceDE/>
        <w:autoSpaceDN/>
        <w:bidi w:val="0"/>
        <w:adjustRightInd/>
        <w:spacing w:before="0" w:after="0" w:line="480" w:lineRule="auto"/>
        <w:textAlignment w:val="auto"/>
        <w:rPr>
          <w:rFonts w:ascii="Times New Roman" w:hAnsi="Times New Roman" w:eastAsia="Times New Roman" w:cs="Times New Roman"/>
        </w:rPr>
      </w:pPr>
      <w:bookmarkStart w:id="19" w:name="_azkxn2trqcjq"/>
      <w:bookmarkEnd w:id="19"/>
      <w:r>
        <w:rPr>
          <w:b/>
          <w:sz w:val="22"/>
          <w:szCs w:val="22"/>
        </w:rPr>
        <w:t>MetaCNV’s output</w:t>
      </w: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b/>
        </w:rPr>
      </w:pP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b w:val="0"/>
          <w:bCs/>
        </w:rPr>
      </w:pPr>
      <w:r>
        <w:rPr>
          <w:rFonts w:ascii="Times New Roman" w:hAnsi="Times New Roman" w:eastAsia="Times New Roman" w:cs="Times New Roman"/>
          <w:b/>
        </w:rPr>
        <w:t xml:space="preserve">Table S15. </w:t>
      </w:r>
      <w:r>
        <w:rPr>
          <w:rFonts w:ascii="Times New Roman" w:hAnsi="Times New Roman" w:eastAsia="Times New Roman" w:cs="Times New Roman"/>
          <w:b w:val="0"/>
          <w:bCs/>
        </w:rPr>
        <w:t xml:space="preserve">First lines of MetaCNV output for SKBR3 single cell 1 (1x coverage) </w:t>
      </w:r>
    </w:p>
    <w:tbl>
      <w:tblPr>
        <w:tblStyle w:val="17"/>
        <w:tblW w:w="9344" w:type="dxa"/>
        <w:tblInd w:w="-36" w:type="dxa"/>
        <w:tblBorders>
          <w:top w:val="single" w:color="CCCCCC" w:sz="4" w:space="0"/>
          <w:left w:val="single" w:color="CCCCCC" w:sz="4" w:space="0"/>
          <w:bottom w:val="single" w:color="CCCCCC" w:sz="4" w:space="0"/>
          <w:right w:val="single" w:color="CCCCCC" w:sz="4" w:space="0"/>
          <w:insideH w:val="single" w:color="CCCCCC" w:sz="4" w:space="0"/>
          <w:insideV w:val="single" w:color="CCCCCC" w:sz="4" w:space="0"/>
        </w:tblBorders>
        <w:tblLayout w:type="fixed"/>
        <w:tblCellMar>
          <w:top w:w="72" w:type="dxa"/>
          <w:left w:w="67" w:type="dxa"/>
          <w:bottom w:w="72" w:type="dxa"/>
          <w:right w:w="72" w:type="dxa"/>
        </w:tblCellMar>
      </w:tblPr>
      <w:tblGrid>
        <w:gridCol w:w="495"/>
        <w:gridCol w:w="795"/>
        <w:gridCol w:w="825"/>
        <w:gridCol w:w="870"/>
        <w:gridCol w:w="930"/>
        <w:gridCol w:w="990"/>
        <w:gridCol w:w="2235"/>
        <w:gridCol w:w="555"/>
        <w:gridCol w:w="555"/>
        <w:gridCol w:w="1094"/>
      </w:tblGrid>
      <w:tr>
        <w:tblPrEx>
          <w:tblBorders>
            <w:top w:val="single" w:color="CCCCCC" w:sz="4" w:space="0"/>
            <w:left w:val="single" w:color="CCCCCC" w:sz="4" w:space="0"/>
            <w:bottom w:val="single" w:color="CCCCCC" w:sz="4" w:space="0"/>
            <w:right w:val="single" w:color="CCCCCC" w:sz="4" w:space="0"/>
            <w:insideH w:val="single" w:color="CCCCCC" w:sz="4" w:space="0"/>
            <w:insideV w:val="single" w:color="CCCCCC" w:sz="4" w:space="0"/>
          </w:tblBorders>
          <w:tblLayout w:type="fixed"/>
          <w:tblCellMar>
            <w:top w:w="72" w:type="dxa"/>
            <w:left w:w="67" w:type="dxa"/>
            <w:bottom w:w="72" w:type="dxa"/>
            <w:right w:w="72" w:type="dxa"/>
          </w:tblCellMar>
        </w:tblPrEx>
        <w:tc>
          <w:tcPr>
            <w:tcW w:w="49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center"/>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Chr</w:t>
            </w:r>
          </w:p>
        </w:tc>
        <w:tc>
          <w:tcPr>
            <w:tcW w:w="79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center"/>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Segment start</w:t>
            </w:r>
          </w:p>
        </w:tc>
        <w:tc>
          <w:tcPr>
            <w:tcW w:w="82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center"/>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Segment end</w:t>
            </w:r>
          </w:p>
        </w:tc>
        <w:tc>
          <w:tcPr>
            <w:tcW w:w="870"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center"/>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Segment. length</w:t>
            </w:r>
          </w:p>
        </w:tc>
        <w:tc>
          <w:tcPr>
            <w:tcW w:w="930"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center"/>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MetaCNV cn</w:t>
            </w:r>
          </w:p>
        </w:tc>
        <w:tc>
          <w:tcPr>
            <w:tcW w:w="990"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center"/>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MetaCNV error score</w:t>
            </w:r>
          </w:p>
        </w:tc>
        <w:tc>
          <w:tcPr>
            <w:tcW w:w="223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center"/>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MetaCNV</w:t>
            </w:r>
          </w:p>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center"/>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 xml:space="preserve"> comments array</w:t>
            </w:r>
          </w:p>
        </w:tc>
        <w:tc>
          <w:tcPr>
            <w:tcW w:w="55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center"/>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RD cn array</w:t>
            </w:r>
          </w:p>
        </w:tc>
        <w:tc>
          <w:tcPr>
            <w:tcW w:w="55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center"/>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SVDetect cn array</w:t>
            </w:r>
          </w:p>
        </w:tc>
        <w:tc>
          <w:tcPr>
            <w:tcW w:w="1094"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center"/>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CNVnator type array</w:t>
            </w:r>
          </w:p>
        </w:tc>
      </w:tr>
      <w:tr>
        <w:tblPrEx>
          <w:tblBorders>
            <w:top w:val="single" w:color="CCCCCC" w:sz="4" w:space="0"/>
            <w:left w:val="single" w:color="CCCCCC" w:sz="4" w:space="0"/>
            <w:bottom w:val="single" w:color="CCCCCC" w:sz="4" w:space="0"/>
            <w:right w:val="single" w:color="CCCCCC" w:sz="4" w:space="0"/>
            <w:insideH w:val="single" w:color="CCCCCC" w:sz="4" w:space="0"/>
            <w:insideV w:val="single" w:color="CCCCCC" w:sz="4" w:space="0"/>
          </w:tblBorders>
          <w:tblLayout w:type="fixed"/>
          <w:tblCellMar>
            <w:top w:w="72" w:type="dxa"/>
            <w:left w:w="67" w:type="dxa"/>
            <w:bottom w:w="72" w:type="dxa"/>
            <w:right w:w="72" w:type="dxa"/>
          </w:tblCellMar>
        </w:tblPrEx>
        <w:tc>
          <w:tcPr>
            <w:tcW w:w="49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w:t>
            </w:r>
          </w:p>
        </w:tc>
        <w:tc>
          <w:tcPr>
            <w:tcW w:w="79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w:t>
            </w:r>
          </w:p>
        </w:tc>
        <w:tc>
          <w:tcPr>
            <w:tcW w:w="82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1726400</w:t>
            </w:r>
          </w:p>
        </w:tc>
        <w:tc>
          <w:tcPr>
            <w:tcW w:w="870"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1726399</w:t>
            </w:r>
          </w:p>
        </w:tc>
        <w:tc>
          <w:tcPr>
            <w:tcW w:w="930"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0.3</w:t>
            </w:r>
          </w:p>
        </w:tc>
        <w:tc>
          <w:tcPr>
            <w:tcW w:w="990"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20.2</w:t>
            </w:r>
          </w:p>
        </w:tc>
        <w:tc>
          <w:tcPr>
            <w:tcW w:w="223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 xml:space="preserve">RD (SV is Null); </w:t>
            </w:r>
          </w:p>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 xml:space="preserve">Conflict 2 (RD:DEL, SV:AMP); </w:t>
            </w:r>
          </w:p>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Conflict 2 (RD:DEL, SV:AMP) judge: CNVnator:DEL</w:t>
            </w:r>
          </w:p>
        </w:tc>
        <w:tc>
          <w:tcPr>
            <w:tcW w:w="55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0,30</w:t>
            </w:r>
          </w:p>
        </w:tc>
        <w:tc>
          <w:tcPr>
            <w:tcW w:w="55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 xml:space="preserve">0,00; 0,69; 1,09; 1,38; 3,49; 3,78; </w:t>
            </w:r>
          </w:p>
        </w:tc>
        <w:tc>
          <w:tcPr>
            <w:tcW w:w="1094"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not assigned; no data; deletion</w:t>
            </w:r>
          </w:p>
        </w:tc>
      </w:tr>
      <w:tr>
        <w:tblPrEx>
          <w:tblBorders>
            <w:top w:val="single" w:color="CCCCCC" w:sz="4" w:space="0"/>
            <w:left w:val="single" w:color="CCCCCC" w:sz="4" w:space="0"/>
            <w:bottom w:val="single" w:color="CCCCCC" w:sz="4" w:space="0"/>
            <w:right w:val="single" w:color="CCCCCC" w:sz="4" w:space="0"/>
            <w:insideH w:val="single" w:color="CCCCCC" w:sz="4" w:space="0"/>
            <w:insideV w:val="single" w:color="CCCCCC" w:sz="4" w:space="0"/>
          </w:tblBorders>
          <w:tblLayout w:type="fixed"/>
          <w:tblCellMar>
            <w:top w:w="72" w:type="dxa"/>
            <w:left w:w="67" w:type="dxa"/>
            <w:bottom w:w="72" w:type="dxa"/>
            <w:right w:w="72" w:type="dxa"/>
          </w:tblCellMar>
        </w:tblPrEx>
        <w:tc>
          <w:tcPr>
            <w:tcW w:w="49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w:t>
            </w:r>
          </w:p>
        </w:tc>
        <w:tc>
          <w:tcPr>
            <w:tcW w:w="79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1726401</w:t>
            </w:r>
          </w:p>
        </w:tc>
        <w:tc>
          <w:tcPr>
            <w:tcW w:w="82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1726800</w:t>
            </w:r>
          </w:p>
        </w:tc>
        <w:tc>
          <w:tcPr>
            <w:tcW w:w="870"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399</w:t>
            </w:r>
          </w:p>
        </w:tc>
        <w:tc>
          <w:tcPr>
            <w:tcW w:w="930"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4.9</w:t>
            </w:r>
          </w:p>
        </w:tc>
        <w:tc>
          <w:tcPr>
            <w:tcW w:w="990"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21.4</w:t>
            </w:r>
          </w:p>
        </w:tc>
        <w:tc>
          <w:tcPr>
            <w:tcW w:w="223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Conflict 2 (RD:DEL, SV:AMP) judge: CNVnator:AMP</w:t>
            </w:r>
          </w:p>
        </w:tc>
        <w:tc>
          <w:tcPr>
            <w:tcW w:w="55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0,30</w:t>
            </w:r>
          </w:p>
        </w:tc>
        <w:tc>
          <w:tcPr>
            <w:tcW w:w="55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4,92</w:t>
            </w:r>
          </w:p>
        </w:tc>
        <w:tc>
          <w:tcPr>
            <w:tcW w:w="1094"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duplication</w:t>
            </w:r>
          </w:p>
        </w:tc>
      </w:tr>
      <w:tr>
        <w:tblPrEx>
          <w:tblBorders>
            <w:top w:val="single" w:color="CCCCCC" w:sz="4" w:space="0"/>
            <w:left w:val="single" w:color="CCCCCC" w:sz="4" w:space="0"/>
            <w:bottom w:val="single" w:color="CCCCCC" w:sz="4" w:space="0"/>
            <w:right w:val="single" w:color="CCCCCC" w:sz="4" w:space="0"/>
            <w:insideH w:val="single" w:color="CCCCCC" w:sz="4" w:space="0"/>
            <w:insideV w:val="single" w:color="CCCCCC" w:sz="4" w:space="0"/>
          </w:tblBorders>
          <w:tblLayout w:type="fixed"/>
        </w:tblPrEx>
        <w:tc>
          <w:tcPr>
            <w:tcW w:w="49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w:t>
            </w:r>
          </w:p>
        </w:tc>
        <w:tc>
          <w:tcPr>
            <w:tcW w:w="79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1726801</w:t>
            </w:r>
          </w:p>
        </w:tc>
        <w:tc>
          <w:tcPr>
            <w:tcW w:w="82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1727200</w:t>
            </w:r>
          </w:p>
        </w:tc>
        <w:tc>
          <w:tcPr>
            <w:tcW w:w="870"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399</w:t>
            </w:r>
          </w:p>
        </w:tc>
        <w:tc>
          <w:tcPr>
            <w:tcW w:w="930"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3.8</w:t>
            </w:r>
          </w:p>
        </w:tc>
        <w:tc>
          <w:tcPr>
            <w:tcW w:w="990"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12.4</w:t>
            </w:r>
          </w:p>
        </w:tc>
        <w:tc>
          <w:tcPr>
            <w:tcW w:w="223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Conflict 2 (RD:DEL, SV:AMP) judge: CNVnator:AMP</w:t>
            </w:r>
          </w:p>
        </w:tc>
        <w:tc>
          <w:tcPr>
            <w:tcW w:w="55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0,30</w:t>
            </w:r>
          </w:p>
        </w:tc>
        <w:tc>
          <w:tcPr>
            <w:tcW w:w="55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3,82</w:t>
            </w:r>
          </w:p>
        </w:tc>
        <w:tc>
          <w:tcPr>
            <w:tcW w:w="1094"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duplication</w:t>
            </w:r>
          </w:p>
        </w:tc>
      </w:tr>
      <w:tr>
        <w:tblPrEx>
          <w:tblBorders>
            <w:top w:val="single" w:color="CCCCCC" w:sz="4" w:space="0"/>
            <w:left w:val="single" w:color="CCCCCC" w:sz="4" w:space="0"/>
            <w:bottom w:val="single" w:color="CCCCCC" w:sz="4" w:space="0"/>
            <w:right w:val="single" w:color="CCCCCC" w:sz="4" w:space="0"/>
            <w:insideH w:val="single" w:color="CCCCCC" w:sz="4" w:space="0"/>
            <w:insideV w:val="single" w:color="CCCCCC" w:sz="4" w:space="0"/>
          </w:tblBorders>
          <w:tblLayout w:type="fixed"/>
          <w:tblCellMar>
            <w:top w:w="72" w:type="dxa"/>
            <w:left w:w="67" w:type="dxa"/>
            <w:bottom w:w="72" w:type="dxa"/>
            <w:right w:w="72" w:type="dxa"/>
          </w:tblCellMar>
        </w:tblPrEx>
        <w:tc>
          <w:tcPr>
            <w:tcW w:w="49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w:t>
            </w:r>
          </w:p>
        </w:tc>
        <w:tc>
          <w:tcPr>
            <w:tcW w:w="79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1727201</w:t>
            </w:r>
          </w:p>
        </w:tc>
        <w:tc>
          <w:tcPr>
            <w:tcW w:w="82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1728400</w:t>
            </w:r>
          </w:p>
        </w:tc>
        <w:tc>
          <w:tcPr>
            <w:tcW w:w="870"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1199</w:t>
            </w:r>
          </w:p>
        </w:tc>
        <w:tc>
          <w:tcPr>
            <w:tcW w:w="930"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0.3</w:t>
            </w:r>
          </w:p>
        </w:tc>
        <w:tc>
          <w:tcPr>
            <w:tcW w:w="990"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1.2</w:t>
            </w:r>
          </w:p>
        </w:tc>
        <w:tc>
          <w:tcPr>
            <w:tcW w:w="223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RD</w:t>
            </w:r>
          </w:p>
        </w:tc>
        <w:tc>
          <w:tcPr>
            <w:tcW w:w="55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0,30</w:t>
            </w:r>
          </w:p>
        </w:tc>
        <w:tc>
          <w:tcPr>
            <w:tcW w:w="55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1,60; 0,69; 1,38</w:t>
            </w:r>
          </w:p>
        </w:tc>
        <w:tc>
          <w:tcPr>
            <w:tcW w:w="1094"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not assigned</w:t>
            </w:r>
          </w:p>
        </w:tc>
      </w:tr>
      <w:tr>
        <w:tblPrEx>
          <w:tblBorders>
            <w:top w:val="single" w:color="CCCCCC" w:sz="4" w:space="0"/>
            <w:left w:val="single" w:color="CCCCCC" w:sz="4" w:space="0"/>
            <w:bottom w:val="single" w:color="CCCCCC" w:sz="4" w:space="0"/>
            <w:right w:val="single" w:color="CCCCCC" w:sz="4" w:space="0"/>
            <w:insideH w:val="single" w:color="CCCCCC" w:sz="4" w:space="0"/>
            <w:insideV w:val="single" w:color="CCCCCC" w:sz="4" w:space="0"/>
          </w:tblBorders>
          <w:tblLayout w:type="fixed"/>
          <w:tblCellMar>
            <w:top w:w="72" w:type="dxa"/>
            <w:left w:w="67" w:type="dxa"/>
            <w:bottom w:w="72" w:type="dxa"/>
            <w:right w:w="72" w:type="dxa"/>
          </w:tblCellMar>
        </w:tblPrEx>
        <w:tc>
          <w:tcPr>
            <w:tcW w:w="49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w:t>
            </w:r>
          </w:p>
        </w:tc>
        <w:tc>
          <w:tcPr>
            <w:tcW w:w="79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1728401</w:t>
            </w:r>
          </w:p>
        </w:tc>
        <w:tc>
          <w:tcPr>
            <w:tcW w:w="82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1728800</w:t>
            </w:r>
          </w:p>
        </w:tc>
        <w:tc>
          <w:tcPr>
            <w:tcW w:w="870"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399</w:t>
            </w:r>
          </w:p>
        </w:tc>
        <w:tc>
          <w:tcPr>
            <w:tcW w:w="930"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3.8</w:t>
            </w:r>
          </w:p>
        </w:tc>
        <w:tc>
          <w:tcPr>
            <w:tcW w:w="990"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12</w:t>
            </w:r>
          </w:p>
        </w:tc>
        <w:tc>
          <w:tcPr>
            <w:tcW w:w="223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Conflict 2 (RD:DEL, SV:AMP) judge: CNVnator:AMP</w:t>
            </w:r>
          </w:p>
        </w:tc>
        <w:tc>
          <w:tcPr>
            <w:tcW w:w="55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0,30</w:t>
            </w:r>
          </w:p>
        </w:tc>
        <w:tc>
          <w:tcPr>
            <w:tcW w:w="55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3,76</w:t>
            </w:r>
          </w:p>
        </w:tc>
        <w:tc>
          <w:tcPr>
            <w:tcW w:w="1094"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duplication</w:t>
            </w:r>
          </w:p>
        </w:tc>
      </w:tr>
      <w:tr>
        <w:tblPrEx>
          <w:tblBorders>
            <w:top w:val="single" w:color="CCCCCC" w:sz="4" w:space="0"/>
            <w:left w:val="single" w:color="CCCCCC" w:sz="4" w:space="0"/>
            <w:bottom w:val="single" w:color="CCCCCC" w:sz="4" w:space="0"/>
            <w:right w:val="single" w:color="CCCCCC" w:sz="4" w:space="0"/>
            <w:insideH w:val="single" w:color="CCCCCC" w:sz="4" w:space="0"/>
            <w:insideV w:val="single" w:color="CCCCCC" w:sz="4" w:space="0"/>
          </w:tblBorders>
          <w:tblLayout w:type="fixed"/>
          <w:tblCellMar>
            <w:top w:w="72" w:type="dxa"/>
            <w:left w:w="67" w:type="dxa"/>
            <w:bottom w:w="72" w:type="dxa"/>
            <w:right w:w="72" w:type="dxa"/>
          </w:tblCellMar>
        </w:tblPrEx>
        <w:tc>
          <w:tcPr>
            <w:tcW w:w="49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w:t>
            </w:r>
          </w:p>
        </w:tc>
        <w:tc>
          <w:tcPr>
            <w:tcW w:w="79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1728801</w:t>
            </w:r>
          </w:p>
        </w:tc>
        <w:tc>
          <w:tcPr>
            <w:tcW w:w="82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1729200</w:t>
            </w:r>
          </w:p>
        </w:tc>
        <w:tc>
          <w:tcPr>
            <w:tcW w:w="870"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399</w:t>
            </w:r>
          </w:p>
        </w:tc>
        <w:tc>
          <w:tcPr>
            <w:tcW w:w="930"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4.8</w:t>
            </w:r>
          </w:p>
        </w:tc>
        <w:tc>
          <w:tcPr>
            <w:tcW w:w="990"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20</w:t>
            </w:r>
          </w:p>
        </w:tc>
        <w:tc>
          <w:tcPr>
            <w:tcW w:w="223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Conflict 2 (RD:DEL, SV:AMP) judge: CNVnator:AMP</w:t>
            </w:r>
          </w:p>
        </w:tc>
        <w:tc>
          <w:tcPr>
            <w:tcW w:w="55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0,30</w:t>
            </w:r>
          </w:p>
        </w:tc>
        <w:tc>
          <w:tcPr>
            <w:tcW w:w="55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4,77</w:t>
            </w:r>
          </w:p>
        </w:tc>
        <w:tc>
          <w:tcPr>
            <w:tcW w:w="1094"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duplication</w:t>
            </w:r>
          </w:p>
        </w:tc>
      </w:tr>
      <w:tr>
        <w:tblPrEx>
          <w:tblBorders>
            <w:top w:val="single" w:color="CCCCCC" w:sz="4" w:space="0"/>
            <w:left w:val="single" w:color="CCCCCC" w:sz="4" w:space="0"/>
            <w:bottom w:val="single" w:color="CCCCCC" w:sz="4" w:space="0"/>
            <w:right w:val="single" w:color="CCCCCC" w:sz="4" w:space="0"/>
            <w:insideH w:val="single" w:color="CCCCCC" w:sz="4" w:space="0"/>
            <w:insideV w:val="single" w:color="CCCCCC" w:sz="4" w:space="0"/>
          </w:tblBorders>
          <w:tblLayout w:type="fixed"/>
        </w:tblPrEx>
        <w:tc>
          <w:tcPr>
            <w:tcW w:w="49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w:t>
            </w:r>
          </w:p>
        </w:tc>
        <w:tc>
          <w:tcPr>
            <w:tcW w:w="79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1729201</w:t>
            </w:r>
          </w:p>
        </w:tc>
        <w:tc>
          <w:tcPr>
            <w:tcW w:w="82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1729600</w:t>
            </w:r>
          </w:p>
        </w:tc>
        <w:tc>
          <w:tcPr>
            <w:tcW w:w="870"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399</w:t>
            </w:r>
          </w:p>
        </w:tc>
        <w:tc>
          <w:tcPr>
            <w:tcW w:w="930"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5.3</w:t>
            </w:r>
          </w:p>
        </w:tc>
        <w:tc>
          <w:tcPr>
            <w:tcW w:w="990"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25.4</w:t>
            </w:r>
          </w:p>
        </w:tc>
        <w:tc>
          <w:tcPr>
            <w:tcW w:w="223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Conflict 2 (RD:DEL, SV:AMP) judge: CNVnator:AMP</w:t>
            </w:r>
          </w:p>
        </w:tc>
        <w:tc>
          <w:tcPr>
            <w:tcW w:w="55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0,30</w:t>
            </w:r>
          </w:p>
        </w:tc>
        <w:tc>
          <w:tcPr>
            <w:tcW w:w="55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5,34</w:t>
            </w:r>
          </w:p>
        </w:tc>
        <w:tc>
          <w:tcPr>
            <w:tcW w:w="1094"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sz w:val="18"/>
                <w:szCs w:val="18"/>
              </w:rPr>
            </w:pPr>
            <w:r>
              <w:rPr>
                <w:rFonts w:ascii="Times New Roman" w:hAnsi="Times New Roman" w:eastAsia="Times New Roman" w:cs="Times New Roman"/>
                <w:sz w:val="18"/>
                <w:szCs w:val="18"/>
              </w:rPr>
              <w:t>duplication</w:t>
            </w:r>
          </w:p>
        </w:tc>
      </w:tr>
    </w:tbl>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rPr>
      </w:pPr>
    </w:p>
    <w:p>
      <w:pPr>
        <w:pageBreakBefore w:val="0"/>
        <w:kinsoku/>
        <w:wordWrap/>
        <w:overflowPunct/>
        <w:topLinePunct w:val="0"/>
        <w:autoSpaceDE/>
        <w:autoSpaceDN/>
        <w:bidi w:val="0"/>
        <w:adjustRightInd/>
        <w:spacing w:line="480" w:lineRule="auto"/>
        <w:textAlignment w:val="auto"/>
        <w:rPr>
          <w:rFonts w:ascii="Times New Roman" w:hAnsi="Times New Roman" w:eastAsia="Times New Roman" w:cs="Times New Roman"/>
          <w:b w:val="0"/>
          <w:bCs/>
        </w:rPr>
      </w:pPr>
      <w:r>
        <w:rPr>
          <w:rFonts w:ascii="Times New Roman" w:hAnsi="Times New Roman" w:eastAsia="Times New Roman" w:cs="Times New Roman"/>
          <w:b/>
        </w:rPr>
        <w:t>Table S16.</w:t>
      </w:r>
      <w:r>
        <w:rPr>
          <w:rFonts w:ascii="Times New Roman" w:hAnsi="Times New Roman" w:eastAsia="Times New Roman" w:cs="Times New Roman"/>
          <w:b w:val="0"/>
          <w:bCs/>
        </w:rPr>
        <w:t xml:space="preserve"> MetaCNV’s parameters &amp; statistics for SKBR3 single cell 1 (1x coverage) </w:t>
      </w:r>
    </w:p>
    <w:tbl>
      <w:tblPr>
        <w:tblStyle w:val="17"/>
        <w:tblW w:w="9135" w:type="dxa"/>
        <w:tblInd w:w="-36" w:type="dxa"/>
        <w:tblBorders>
          <w:top w:val="single" w:color="CCCCCC" w:sz="4" w:space="0"/>
          <w:left w:val="single" w:color="CCCCCC" w:sz="4" w:space="0"/>
          <w:bottom w:val="single" w:color="CCCCCC" w:sz="4" w:space="0"/>
          <w:right w:val="single" w:color="CCCCCC" w:sz="4" w:space="0"/>
          <w:insideH w:val="single" w:color="CCCCCC" w:sz="4" w:space="0"/>
          <w:insideV w:val="single" w:color="CCCCCC" w:sz="4" w:space="0"/>
        </w:tblBorders>
        <w:tblLayout w:type="fixed"/>
        <w:tblCellMar>
          <w:top w:w="72" w:type="dxa"/>
          <w:left w:w="67" w:type="dxa"/>
          <w:bottom w:w="72" w:type="dxa"/>
          <w:right w:w="72" w:type="dxa"/>
        </w:tblCellMar>
      </w:tblPr>
      <w:tblGrid>
        <w:gridCol w:w="1335"/>
        <w:gridCol w:w="2355"/>
        <w:gridCol w:w="5445"/>
      </w:tblGrid>
      <w:tr>
        <w:tblPrEx>
          <w:tblBorders>
            <w:top w:val="single" w:color="CCCCCC" w:sz="4" w:space="0"/>
            <w:left w:val="single" w:color="CCCCCC" w:sz="4" w:space="0"/>
            <w:bottom w:val="single" w:color="CCCCCC" w:sz="4" w:space="0"/>
            <w:right w:val="single" w:color="CCCCCC" w:sz="4" w:space="0"/>
            <w:insideH w:val="single" w:color="CCCCCC" w:sz="4" w:space="0"/>
            <w:insideV w:val="single" w:color="CCCCCC" w:sz="4" w:space="0"/>
          </w:tblBorders>
          <w:tblLayout w:type="fixed"/>
          <w:tblCellMar>
            <w:top w:w="72" w:type="dxa"/>
            <w:left w:w="67" w:type="dxa"/>
            <w:bottom w:w="72" w:type="dxa"/>
            <w:right w:w="72" w:type="dxa"/>
          </w:tblCellMar>
        </w:tblPrEx>
        <w:tc>
          <w:tcPr>
            <w:tcW w:w="133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rPr>
            </w:pPr>
            <w:r>
              <w:rPr>
                <w:rFonts w:ascii="Times New Roman" w:hAnsi="Times New Roman" w:eastAsia="Times New Roman" w:cs="Times New Roman"/>
              </w:rPr>
              <w:t>Gender</w:t>
            </w:r>
          </w:p>
        </w:tc>
        <w:tc>
          <w:tcPr>
            <w:tcW w:w="235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rPr>
            </w:pPr>
          </w:p>
        </w:tc>
        <w:tc>
          <w:tcPr>
            <w:tcW w:w="544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vAlign w:val="center"/>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Female</w:t>
            </w:r>
          </w:p>
        </w:tc>
      </w:tr>
      <w:tr>
        <w:tblPrEx>
          <w:tblBorders>
            <w:top w:val="single" w:color="CCCCCC" w:sz="4" w:space="0"/>
            <w:left w:val="single" w:color="CCCCCC" w:sz="4" w:space="0"/>
            <w:bottom w:val="single" w:color="CCCCCC" w:sz="4" w:space="0"/>
            <w:right w:val="single" w:color="CCCCCC" w:sz="4" w:space="0"/>
            <w:insideH w:val="single" w:color="CCCCCC" w:sz="4" w:space="0"/>
            <w:insideV w:val="single" w:color="CCCCCC" w:sz="4" w:space="0"/>
          </w:tblBorders>
          <w:tblLayout w:type="fixed"/>
          <w:tblCellMar>
            <w:top w:w="72" w:type="dxa"/>
            <w:left w:w="67" w:type="dxa"/>
            <w:bottom w:w="72" w:type="dxa"/>
            <w:right w:w="72" w:type="dxa"/>
          </w:tblCellMar>
        </w:tblPrEx>
        <w:tc>
          <w:tcPr>
            <w:tcW w:w="133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rPr>
            </w:pPr>
            <w:r>
              <w:rPr>
                <w:rFonts w:ascii="Times New Roman" w:hAnsi="Times New Roman" w:eastAsia="Times New Roman" w:cs="Times New Roman"/>
              </w:rPr>
              <w:t>ReadDepth</w:t>
            </w:r>
          </w:p>
        </w:tc>
        <w:tc>
          <w:tcPr>
            <w:tcW w:w="235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rPr>
            </w:pPr>
            <w:r>
              <w:rPr>
                <w:rFonts w:ascii="Times New Roman" w:hAnsi="Times New Roman" w:eastAsia="Times New Roman" w:cs="Times New Roman"/>
              </w:rPr>
              <w:t>infile</w:t>
            </w:r>
          </w:p>
        </w:tc>
        <w:tc>
          <w:tcPr>
            <w:tcW w:w="544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rPr>
            </w:pPr>
            <w:r>
              <w:rPr>
                <w:rFonts w:ascii="Times New Roman" w:hAnsi="Times New Roman" w:eastAsia="Times New Roman" w:cs="Times New Roman"/>
              </w:rPr>
              <w:t>SKBR3_WGS_singleCell_3_readdepth.fdr0.01_segs.dat</w:t>
            </w:r>
          </w:p>
        </w:tc>
      </w:tr>
      <w:tr>
        <w:tblPrEx>
          <w:tblBorders>
            <w:top w:val="single" w:color="CCCCCC" w:sz="4" w:space="0"/>
            <w:left w:val="single" w:color="CCCCCC" w:sz="4" w:space="0"/>
            <w:bottom w:val="single" w:color="CCCCCC" w:sz="4" w:space="0"/>
            <w:right w:val="single" w:color="CCCCCC" w:sz="4" w:space="0"/>
            <w:insideH w:val="single" w:color="CCCCCC" w:sz="4" w:space="0"/>
            <w:insideV w:val="single" w:color="CCCCCC" w:sz="4" w:space="0"/>
          </w:tblBorders>
          <w:tblLayout w:type="fixed"/>
          <w:tblCellMar>
            <w:top w:w="72" w:type="dxa"/>
            <w:left w:w="67" w:type="dxa"/>
            <w:bottom w:w="72" w:type="dxa"/>
            <w:right w:w="72" w:type="dxa"/>
          </w:tblCellMar>
        </w:tblPrEx>
        <w:tc>
          <w:tcPr>
            <w:tcW w:w="133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rPr>
            </w:pPr>
            <w:r>
              <w:rPr>
                <w:rFonts w:ascii="Times New Roman" w:hAnsi="Times New Roman" w:eastAsia="Times New Roman" w:cs="Times New Roman"/>
              </w:rPr>
              <w:t>ReadDepth</w:t>
            </w:r>
          </w:p>
        </w:tc>
        <w:tc>
          <w:tcPr>
            <w:tcW w:w="235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rPr>
            </w:pPr>
            <w:r>
              <w:rPr>
                <w:rFonts w:ascii="Times New Roman" w:hAnsi="Times New Roman" w:eastAsia="Times New Roman" w:cs="Times New Roman"/>
              </w:rPr>
              <w:t>bias</w:t>
            </w:r>
          </w:p>
        </w:tc>
        <w:tc>
          <w:tcPr>
            <w:tcW w:w="544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rPr>
            </w:pPr>
            <w:r>
              <w:rPr>
                <w:rFonts w:ascii="Times New Roman" w:hAnsi="Times New Roman" w:eastAsia="Times New Roman" w:cs="Times New Roman"/>
              </w:rPr>
              <w:t>0</w:t>
            </w:r>
          </w:p>
        </w:tc>
      </w:tr>
      <w:tr>
        <w:tblPrEx>
          <w:tblBorders>
            <w:top w:val="single" w:color="CCCCCC" w:sz="4" w:space="0"/>
            <w:left w:val="single" w:color="CCCCCC" w:sz="4" w:space="0"/>
            <w:bottom w:val="single" w:color="CCCCCC" w:sz="4" w:space="0"/>
            <w:right w:val="single" w:color="CCCCCC" w:sz="4" w:space="0"/>
            <w:insideH w:val="single" w:color="CCCCCC" w:sz="4" w:space="0"/>
            <w:insideV w:val="single" w:color="CCCCCC" w:sz="4" w:space="0"/>
          </w:tblBorders>
          <w:tblLayout w:type="fixed"/>
          <w:tblCellMar>
            <w:top w:w="72" w:type="dxa"/>
            <w:left w:w="67" w:type="dxa"/>
            <w:bottom w:w="72" w:type="dxa"/>
            <w:right w:w="72" w:type="dxa"/>
          </w:tblCellMar>
        </w:tblPrEx>
        <w:tc>
          <w:tcPr>
            <w:tcW w:w="133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rPr>
            </w:pPr>
            <w:r>
              <w:rPr>
                <w:rFonts w:ascii="Times New Roman" w:hAnsi="Times New Roman" w:eastAsia="Times New Roman" w:cs="Times New Roman"/>
              </w:rPr>
              <w:t>ReadDepth</w:t>
            </w:r>
          </w:p>
        </w:tc>
        <w:tc>
          <w:tcPr>
            <w:tcW w:w="235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rPr>
            </w:pPr>
            <w:r>
              <w:rPr>
                <w:rFonts w:ascii="Times New Roman" w:hAnsi="Times New Roman" w:eastAsia="Times New Roman" w:cs="Times New Roman"/>
              </w:rPr>
              <w:t>coverage</w:t>
            </w:r>
          </w:p>
        </w:tc>
        <w:tc>
          <w:tcPr>
            <w:tcW w:w="544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rPr>
            </w:pPr>
            <w:r>
              <w:rPr>
                <w:rFonts w:ascii="Times New Roman" w:hAnsi="Times New Roman" w:eastAsia="Times New Roman" w:cs="Times New Roman"/>
              </w:rPr>
              <w:t>97.46  % of GRCh38.84</w:t>
            </w:r>
          </w:p>
        </w:tc>
      </w:tr>
      <w:tr>
        <w:tblPrEx>
          <w:tblBorders>
            <w:top w:val="single" w:color="CCCCCC" w:sz="4" w:space="0"/>
            <w:left w:val="single" w:color="CCCCCC" w:sz="4" w:space="0"/>
            <w:bottom w:val="single" w:color="CCCCCC" w:sz="4" w:space="0"/>
            <w:right w:val="single" w:color="CCCCCC" w:sz="4" w:space="0"/>
            <w:insideH w:val="single" w:color="CCCCCC" w:sz="4" w:space="0"/>
            <w:insideV w:val="single" w:color="CCCCCC" w:sz="4" w:space="0"/>
          </w:tblBorders>
          <w:tblLayout w:type="fixed"/>
          <w:tblCellMar>
            <w:top w:w="72" w:type="dxa"/>
            <w:left w:w="67" w:type="dxa"/>
            <w:bottom w:w="72" w:type="dxa"/>
            <w:right w:w="72" w:type="dxa"/>
          </w:tblCellMar>
        </w:tblPrEx>
        <w:tc>
          <w:tcPr>
            <w:tcW w:w="133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rPr>
            </w:pPr>
          </w:p>
        </w:tc>
        <w:tc>
          <w:tcPr>
            <w:tcW w:w="235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rPr>
            </w:pPr>
          </w:p>
        </w:tc>
        <w:tc>
          <w:tcPr>
            <w:tcW w:w="544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rPr>
            </w:pPr>
          </w:p>
        </w:tc>
      </w:tr>
      <w:tr>
        <w:tblPrEx>
          <w:tblBorders>
            <w:top w:val="single" w:color="CCCCCC" w:sz="4" w:space="0"/>
            <w:left w:val="single" w:color="CCCCCC" w:sz="4" w:space="0"/>
            <w:bottom w:val="single" w:color="CCCCCC" w:sz="4" w:space="0"/>
            <w:right w:val="single" w:color="CCCCCC" w:sz="4" w:space="0"/>
            <w:insideH w:val="single" w:color="CCCCCC" w:sz="4" w:space="0"/>
            <w:insideV w:val="single" w:color="CCCCCC" w:sz="4" w:space="0"/>
          </w:tblBorders>
          <w:tblLayout w:type="fixed"/>
          <w:tblCellMar>
            <w:top w:w="72" w:type="dxa"/>
            <w:left w:w="67" w:type="dxa"/>
            <w:bottom w:w="72" w:type="dxa"/>
            <w:right w:w="72" w:type="dxa"/>
          </w:tblCellMar>
        </w:tblPrEx>
        <w:tc>
          <w:tcPr>
            <w:tcW w:w="133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rPr>
            </w:pPr>
            <w:r>
              <w:rPr>
                <w:rFonts w:ascii="Times New Roman" w:hAnsi="Times New Roman" w:eastAsia="Times New Roman" w:cs="Times New Roman"/>
              </w:rPr>
              <w:t>SVDetect</w:t>
            </w:r>
          </w:p>
        </w:tc>
        <w:tc>
          <w:tcPr>
            <w:tcW w:w="235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rPr>
            </w:pPr>
            <w:r>
              <w:rPr>
                <w:rFonts w:ascii="Times New Roman" w:hAnsi="Times New Roman" w:eastAsia="Times New Roman" w:cs="Times New Roman"/>
              </w:rPr>
              <w:t>infile</w:t>
            </w:r>
          </w:p>
        </w:tc>
        <w:tc>
          <w:tcPr>
            <w:tcW w:w="544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rPr>
            </w:pPr>
            <w:r>
              <w:rPr>
                <w:rFonts w:ascii="Times New Roman" w:hAnsi="Times New Roman" w:eastAsia="Times New Roman" w:cs="Times New Roman"/>
              </w:rPr>
              <w:t>SKBR3_WGS_singleCell_3_svdetect.w400.density</w:t>
            </w:r>
          </w:p>
        </w:tc>
      </w:tr>
      <w:tr>
        <w:tblPrEx>
          <w:tblBorders>
            <w:top w:val="single" w:color="CCCCCC" w:sz="4" w:space="0"/>
            <w:left w:val="single" w:color="CCCCCC" w:sz="4" w:space="0"/>
            <w:bottom w:val="single" w:color="CCCCCC" w:sz="4" w:space="0"/>
            <w:right w:val="single" w:color="CCCCCC" w:sz="4" w:space="0"/>
            <w:insideH w:val="single" w:color="CCCCCC" w:sz="4" w:space="0"/>
            <w:insideV w:val="single" w:color="CCCCCC" w:sz="4" w:space="0"/>
          </w:tblBorders>
          <w:tblLayout w:type="fixed"/>
          <w:tblCellMar>
            <w:top w:w="72" w:type="dxa"/>
            <w:left w:w="67" w:type="dxa"/>
            <w:bottom w:w="72" w:type="dxa"/>
            <w:right w:w="72" w:type="dxa"/>
          </w:tblCellMar>
        </w:tblPrEx>
        <w:tc>
          <w:tcPr>
            <w:tcW w:w="133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rPr>
            </w:pPr>
            <w:r>
              <w:rPr>
                <w:rFonts w:ascii="Times New Roman" w:hAnsi="Times New Roman" w:eastAsia="Times New Roman" w:cs="Times New Roman"/>
              </w:rPr>
              <w:t>SVDetect</w:t>
            </w:r>
          </w:p>
        </w:tc>
        <w:tc>
          <w:tcPr>
            <w:tcW w:w="235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rPr>
            </w:pPr>
            <w:r>
              <w:rPr>
                <w:rFonts w:ascii="Times New Roman" w:hAnsi="Times New Roman" w:eastAsia="Times New Roman" w:cs="Times New Roman"/>
              </w:rPr>
              <w:t>coverage</w:t>
            </w:r>
          </w:p>
        </w:tc>
        <w:tc>
          <w:tcPr>
            <w:tcW w:w="544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rPr>
            </w:pPr>
            <w:r>
              <w:rPr>
                <w:rFonts w:ascii="Times New Roman" w:hAnsi="Times New Roman" w:eastAsia="Times New Roman" w:cs="Times New Roman"/>
              </w:rPr>
              <w:t>11.27 % of GRCh38.84</w:t>
            </w:r>
          </w:p>
        </w:tc>
      </w:tr>
      <w:tr>
        <w:tblPrEx>
          <w:tblBorders>
            <w:top w:val="single" w:color="CCCCCC" w:sz="4" w:space="0"/>
            <w:left w:val="single" w:color="CCCCCC" w:sz="4" w:space="0"/>
            <w:bottom w:val="single" w:color="CCCCCC" w:sz="4" w:space="0"/>
            <w:right w:val="single" w:color="CCCCCC" w:sz="4" w:space="0"/>
            <w:insideH w:val="single" w:color="CCCCCC" w:sz="4" w:space="0"/>
            <w:insideV w:val="single" w:color="CCCCCC" w:sz="4" w:space="0"/>
          </w:tblBorders>
          <w:tblLayout w:type="fixed"/>
          <w:tblCellMar>
            <w:top w:w="72" w:type="dxa"/>
            <w:left w:w="67" w:type="dxa"/>
            <w:bottom w:w="72" w:type="dxa"/>
            <w:right w:w="72" w:type="dxa"/>
          </w:tblCellMar>
        </w:tblPrEx>
        <w:tc>
          <w:tcPr>
            <w:tcW w:w="133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rPr>
            </w:pPr>
          </w:p>
        </w:tc>
        <w:tc>
          <w:tcPr>
            <w:tcW w:w="235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rPr>
            </w:pPr>
          </w:p>
        </w:tc>
        <w:tc>
          <w:tcPr>
            <w:tcW w:w="544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rPr>
            </w:pPr>
          </w:p>
        </w:tc>
      </w:tr>
      <w:tr>
        <w:tblPrEx>
          <w:tblBorders>
            <w:top w:val="single" w:color="CCCCCC" w:sz="4" w:space="0"/>
            <w:left w:val="single" w:color="CCCCCC" w:sz="4" w:space="0"/>
            <w:bottom w:val="single" w:color="CCCCCC" w:sz="4" w:space="0"/>
            <w:right w:val="single" w:color="CCCCCC" w:sz="4" w:space="0"/>
            <w:insideH w:val="single" w:color="CCCCCC" w:sz="4" w:space="0"/>
            <w:insideV w:val="single" w:color="CCCCCC" w:sz="4" w:space="0"/>
          </w:tblBorders>
          <w:tblLayout w:type="fixed"/>
          <w:tblCellMar>
            <w:top w:w="72" w:type="dxa"/>
            <w:left w:w="67" w:type="dxa"/>
            <w:bottom w:w="72" w:type="dxa"/>
            <w:right w:w="72" w:type="dxa"/>
          </w:tblCellMar>
        </w:tblPrEx>
        <w:tc>
          <w:tcPr>
            <w:tcW w:w="133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rPr>
            </w:pPr>
            <w:r>
              <w:rPr>
                <w:rFonts w:ascii="Times New Roman" w:hAnsi="Times New Roman" w:eastAsia="Times New Roman" w:cs="Times New Roman"/>
              </w:rPr>
              <w:t>CNVnator</w:t>
            </w:r>
          </w:p>
        </w:tc>
        <w:tc>
          <w:tcPr>
            <w:tcW w:w="235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rPr>
            </w:pPr>
            <w:r>
              <w:rPr>
                <w:rFonts w:ascii="Times New Roman" w:hAnsi="Times New Roman" w:eastAsia="Times New Roman" w:cs="Times New Roman"/>
              </w:rPr>
              <w:t>infile</w:t>
            </w:r>
          </w:p>
        </w:tc>
        <w:tc>
          <w:tcPr>
            <w:tcW w:w="544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rPr>
            </w:pPr>
            <w:r>
              <w:rPr>
                <w:rFonts w:ascii="Times New Roman" w:hAnsi="Times New Roman" w:eastAsia="Times New Roman" w:cs="Times New Roman"/>
              </w:rPr>
              <w:t>SKBR3_WGS_singleCell_3_cnvnator.w400.csv</w:t>
            </w:r>
          </w:p>
        </w:tc>
      </w:tr>
      <w:tr>
        <w:tblPrEx>
          <w:tblBorders>
            <w:top w:val="single" w:color="CCCCCC" w:sz="4" w:space="0"/>
            <w:left w:val="single" w:color="CCCCCC" w:sz="4" w:space="0"/>
            <w:bottom w:val="single" w:color="CCCCCC" w:sz="4" w:space="0"/>
            <w:right w:val="single" w:color="CCCCCC" w:sz="4" w:space="0"/>
            <w:insideH w:val="single" w:color="CCCCCC" w:sz="4" w:space="0"/>
            <w:insideV w:val="single" w:color="CCCCCC" w:sz="4" w:space="0"/>
          </w:tblBorders>
          <w:tblLayout w:type="fixed"/>
          <w:tblCellMar>
            <w:top w:w="72" w:type="dxa"/>
            <w:left w:w="67" w:type="dxa"/>
            <w:bottom w:w="72" w:type="dxa"/>
            <w:right w:w="72" w:type="dxa"/>
          </w:tblCellMar>
        </w:tblPrEx>
        <w:tc>
          <w:tcPr>
            <w:tcW w:w="133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rPr>
            </w:pPr>
            <w:r>
              <w:rPr>
                <w:rFonts w:ascii="Times New Roman" w:hAnsi="Times New Roman" w:eastAsia="Times New Roman" w:cs="Times New Roman"/>
              </w:rPr>
              <w:t>CNVnator</w:t>
            </w:r>
          </w:p>
        </w:tc>
        <w:tc>
          <w:tcPr>
            <w:tcW w:w="235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rPr>
            </w:pPr>
            <w:r>
              <w:rPr>
                <w:rFonts w:ascii="Times New Roman" w:hAnsi="Times New Roman" w:eastAsia="Times New Roman" w:cs="Times New Roman"/>
              </w:rPr>
              <w:t>coverage</w:t>
            </w:r>
          </w:p>
        </w:tc>
        <w:tc>
          <w:tcPr>
            <w:tcW w:w="544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rPr>
            </w:pPr>
            <w:r>
              <w:rPr>
                <w:rFonts w:ascii="Times New Roman" w:hAnsi="Times New Roman" w:eastAsia="Times New Roman" w:cs="Times New Roman"/>
              </w:rPr>
              <w:t>54.28 % of GRCh38.84</w:t>
            </w:r>
          </w:p>
        </w:tc>
      </w:tr>
      <w:tr>
        <w:tblPrEx>
          <w:tblBorders>
            <w:top w:val="single" w:color="CCCCCC" w:sz="4" w:space="0"/>
            <w:left w:val="single" w:color="CCCCCC" w:sz="4" w:space="0"/>
            <w:bottom w:val="single" w:color="CCCCCC" w:sz="4" w:space="0"/>
            <w:right w:val="single" w:color="CCCCCC" w:sz="4" w:space="0"/>
            <w:insideH w:val="single" w:color="CCCCCC" w:sz="4" w:space="0"/>
            <w:insideV w:val="single" w:color="CCCCCC" w:sz="4" w:space="0"/>
          </w:tblBorders>
          <w:tblLayout w:type="fixed"/>
          <w:tblCellMar>
            <w:top w:w="72" w:type="dxa"/>
            <w:left w:w="67" w:type="dxa"/>
            <w:bottom w:w="72" w:type="dxa"/>
            <w:right w:w="72" w:type="dxa"/>
          </w:tblCellMar>
        </w:tblPrEx>
        <w:tc>
          <w:tcPr>
            <w:tcW w:w="133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rPr>
            </w:pPr>
          </w:p>
        </w:tc>
        <w:tc>
          <w:tcPr>
            <w:tcW w:w="235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rPr>
            </w:pPr>
          </w:p>
        </w:tc>
        <w:tc>
          <w:tcPr>
            <w:tcW w:w="544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rPr>
            </w:pPr>
          </w:p>
        </w:tc>
      </w:tr>
      <w:tr>
        <w:tblPrEx>
          <w:tblBorders>
            <w:top w:val="single" w:color="CCCCCC" w:sz="4" w:space="0"/>
            <w:left w:val="single" w:color="CCCCCC" w:sz="4" w:space="0"/>
            <w:bottom w:val="single" w:color="CCCCCC" w:sz="4" w:space="0"/>
            <w:right w:val="single" w:color="CCCCCC" w:sz="4" w:space="0"/>
            <w:insideH w:val="single" w:color="CCCCCC" w:sz="4" w:space="0"/>
            <w:insideV w:val="single" w:color="CCCCCC" w:sz="4" w:space="0"/>
          </w:tblBorders>
          <w:tblLayout w:type="fixed"/>
          <w:tblCellMar>
            <w:top w:w="72" w:type="dxa"/>
            <w:left w:w="67" w:type="dxa"/>
            <w:bottom w:w="72" w:type="dxa"/>
            <w:right w:w="72" w:type="dxa"/>
          </w:tblCellMar>
        </w:tblPrEx>
        <w:tc>
          <w:tcPr>
            <w:tcW w:w="133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rPr>
            </w:pPr>
            <w:r>
              <w:rPr>
                <w:rFonts w:ascii="Times New Roman" w:hAnsi="Times New Roman" w:eastAsia="Times New Roman" w:cs="Times New Roman"/>
              </w:rPr>
              <w:t>MetaCNV</w:t>
            </w:r>
          </w:p>
        </w:tc>
        <w:tc>
          <w:tcPr>
            <w:tcW w:w="235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rPr>
            </w:pPr>
            <w:r>
              <w:rPr>
                <w:rFonts w:ascii="Times New Roman" w:hAnsi="Times New Roman" w:eastAsia="Times New Roman" w:cs="Times New Roman"/>
              </w:rPr>
              <w:t>outfile</w:t>
            </w:r>
          </w:p>
        </w:tc>
        <w:tc>
          <w:tcPr>
            <w:tcW w:w="544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rPr>
            </w:pPr>
            <w:r>
              <w:rPr>
                <w:rFonts w:ascii="Times New Roman" w:hAnsi="Times New Roman" w:eastAsia="Times New Roman" w:cs="Times New Roman"/>
              </w:rPr>
              <w:t>SKBR3_female_cell3.dat</w:t>
            </w:r>
          </w:p>
        </w:tc>
      </w:tr>
      <w:tr>
        <w:tblPrEx>
          <w:tblBorders>
            <w:top w:val="single" w:color="CCCCCC" w:sz="4" w:space="0"/>
            <w:left w:val="single" w:color="CCCCCC" w:sz="4" w:space="0"/>
            <w:bottom w:val="single" w:color="CCCCCC" w:sz="4" w:space="0"/>
            <w:right w:val="single" w:color="CCCCCC" w:sz="4" w:space="0"/>
            <w:insideH w:val="single" w:color="CCCCCC" w:sz="4" w:space="0"/>
            <w:insideV w:val="single" w:color="CCCCCC" w:sz="4" w:space="0"/>
          </w:tblBorders>
          <w:tblLayout w:type="fixed"/>
          <w:tblCellMar>
            <w:top w:w="72" w:type="dxa"/>
            <w:left w:w="67" w:type="dxa"/>
            <w:bottom w:w="72" w:type="dxa"/>
            <w:right w:w="72" w:type="dxa"/>
          </w:tblCellMar>
        </w:tblPrEx>
        <w:tc>
          <w:tcPr>
            <w:tcW w:w="133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rPr>
            </w:pPr>
            <w:r>
              <w:rPr>
                <w:rFonts w:ascii="Times New Roman" w:hAnsi="Times New Roman" w:eastAsia="Times New Roman" w:cs="Times New Roman"/>
              </w:rPr>
              <w:t>MetaCNV</w:t>
            </w:r>
          </w:p>
        </w:tc>
        <w:tc>
          <w:tcPr>
            <w:tcW w:w="235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rPr>
            </w:pPr>
            <w:r>
              <w:rPr>
                <w:rFonts w:ascii="Times New Roman" w:hAnsi="Times New Roman" w:eastAsia="Times New Roman" w:cs="Times New Roman"/>
              </w:rPr>
              <w:t>coverage</w:t>
            </w:r>
          </w:p>
        </w:tc>
        <w:tc>
          <w:tcPr>
            <w:tcW w:w="544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rPr>
            </w:pPr>
            <w:r>
              <w:rPr>
                <w:rFonts w:ascii="Times New Roman" w:hAnsi="Times New Roman" w:eastAsia="Times New Roman" w:cs="Times New Roman"/>
              </w:rPr>
              <w:t>100.00 % of GRCh38.84</w:t>
            </w:r>
          </w:p>
        </w:tc>
      </w:tr>
      <w:tr>
        <w:tblPrEx>
          <w:tblBorders>
            <w:top w:val="single" w:color="CCCCCC" w:sz="4" w:space="0"/>
            <w:left w:val="single" w:color="CCCCCC" w:sz="4" w:space="0"/>
            <w:bottom w:val="single" w:color="CCCCCC" w:sz="4" w:space="0"/>
            <w:right w:val="single" w:color="CCCCCC" w:sz="4" w:space="0"/>
            <w:insideH w:val="single" w:color="CCCCCC" w:sz="4" w:space="0"/>
            <w:insideV w:val="single" w:color="CCCCCC" w:sz="4" w:space="0"/>
          </w:tblBorders>
          <w:tblLayout w:type="fixed"/>
          <w:tblCellMar>
            <w:top w:w="72" w:type="dxa"/>
            <w:left w:w="67" w:type="dxa"/>
            <w:bottom w:w="72" w:type="dxa"/>
            <w:right w:w="72" w:type="dxa"/>
          </w:tblCellMar>
        </w:tblPrEx>
        <w:tc>
          <w:tcPr>
            <w:tcW w:w="133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rPr>
            </w:pPr>
          </w:p>
        </w:tc>
        <w:tc>
          <w:tcPr>
            <w:tcW w:w="235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rPr>
            </w:pPr>
            <w:r>
              <w:rPr>
                <w:rFonts w:ascii="Times New Roman" w:hAnsi="Times New Roman" w:eastAsia="Times New Roman" w:cs="Times New Roman"/>
              </w:rPr>
              <w:t>Threshold for deletions</w:t>
            </w:r>
          </w:p>
        </w:tc>
        <w:tc>
          <w:tcPr>
            <w:tcW w:w="544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vAlign w:val="center"/>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1.8832</w:t>
            </w:r>
          </w:p>
        </w:tc>
      </w:tr>
      <w:tr>
        <w:tblPrEx>
          <w:tblBorders>
            <w:top w:val="single" w:color="CCCCCC" w:sz="4" w:space="0"/>
            <w:left w:val="single" w:color="CCCCCC" w:sz="4" w:space="0"/>
            <w:bottom w:val="single" w:color="CCCCCC" w:sz="4" w:space="0"/>
            <w:right w:val="single" w:color="CCCCCC" w:sz="4" w:space="0"/>
            <w:insideH w:val="single" w:color="CCCCCC" w:sz="4" w:space="0"/>
            <w:insideV w:val="single" w:color="CCCCCC" w:sz="4" w:space="0"/>
          </w:tblBorders>
          <w:tblLayout w:type="fixed"/>
          <w:tblCellMar>
            <w:top w:w="72" w:type="dxa"/>
            <w:left w:w="67" w:type="dxa"/>
            <w:bottom w:w="72" w:type="dxa"/>
            <w:right w:w="72" w:type="dxa"/>
          </w:tblCellMar>
        </w:tblPrEx>
        <w:tc>
          <w:tcPr>
            <w:tcW w:w="133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rPr>
            </w:pPr>
          </w:p>
        </w:tc>
        <w:tc>
          <w:tcPr>
            <w:tcW w:w="235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vAlign w:val="center"/>
          </w:tcPr>
          <w:p>
            <w:pPr>
              <w:keepNext/>
              <w:keepLines w:val="0"/>
              <w:pageBreakBefore w:val="0"/>
              <w:widowControl w:val="0"/>
              <w:shd w:val="clear" w:fill="auto"/>
              <w:kinsoku/>
              <w:wordWrap/>
              <w:overflowPunct/>
              <w:topLinePunct w:val="0"/>
              <w:autoSpaceDE/>
              <w:autoSpaceDN/>
              <w:bidi w:val="0"/>
              <w:adjustRightInd/>
              <w:spacing w:line="240" w:lineRule="auto"/>
              <w:ind w:left="0" w:right="0" w:firstLine="0"/>
              <w:jc w:val="left"/>
              <w:textAlignment w:val="auto"/>
              <w:rPr>
                <w:rFonts w:ascii="Times New Roman" w:hAnsi="Times New Roman" w:eastAsia="Times New Roman" w:cs="Times New Roman"/>
              </w:rPr>
            </w:pPr>
            <w:r>
              <w:rPr>
                <w:rFonts w:ascii="Times New Roman" w:hAnsi="Times New Roman" w:eastAsia="Times New Roman" w:cs="Times New Roman"/>
              </w:rPr>
              <w:t>Threshold for  amplific.</w:t>
            </w:r>
          </w:p>
        </w:tc>
        <w:tc>
          <w:tcPr>
            <w:tcW w:w="5445" w:type="dxa"/>
            <w:tcBorders>
              <w:top w:val="single" w:color="CCCCCC" w:sz="4" w:space="0"/>
              <w:left w:val="single" w:color="CCCCCC" w:sz="4" w:space="0"/>
              <w:bottom w:val="single" w:color="CCCCCC" w:sz="4" w:space="0"/>
              <w:right w:val="single" w:color="CCCCCC" w:sz="4" w:space="0"/>
              <w:insideH w:val="single" w:sz="4" w:space="0"/>
              <w:insideV w:val="single" w:sz="4" w:space="0"/>
            </w:tcBorders>
            <w:shd w:val="clear" w:color="auto" w:fill="auto"/>
            <w:tcMar>
              <w:left w:w="67" w:type="dxa"/>
            </w:tcMar>
            <w:vAlign w:val="center"/>
          </w:tcPr>
          <w:p>
            <w:pPr>
              <w:pageBreakBefore w:val="0"/>
              <w:widowControl w:val="0"/>
              <w:kinsoku/>
              <w:wordWrap/>
              <w:overflowPunct/>
              <w:topLinePunct w:val="0"/>
              <w:autoSpaceDE/>
              <w:autoSpaceDN/>
              <w:bidi w:val="0"/>
              <w:adjustRightInd/>
              <w:spacing w:line="240" w:lineRule="auto"/>
              <w:textAlignment w:val="auto"/>
              <w:rPr>
                <w:rFonts w:ascii="Times New Roman" w:hAnsi="Times New Roman" w:eastAsia="Times New Roman" w:cs="Times New Roman"/>
              </w:rPr>
            </w:pPr>
            <w:r>
              <w:rPr>
                <w:rFonts w:ascii="Times New Roman" w:hAnsi="Times New Roman" w:eastAsia="Times New Roman" w:cs="Times New Roman"/>
              </w:rPr>
              <w:t>2.1168</w:t>
            </w:r>
          </w:p>
        </w:tc>
      </w:tr>
    </w:tbl>
    <w:p>
      <w:pPr>
        <w:pageBreakBefore w:val="0"/>
        <w:kinsoku/>
        <w:wordWrap/>
        <w:overflowPunct/>
        <w:topLinePunct w:val="0"/>
        <w:autoSpaceDE/>
        <w:autoSpaceDN/>
        <w:bidi w:val="0"/>
        <w:adjustRightInd/>
        <w:spacing w:line="480" w:lineRule="auto"/>
        <w:jc w:val="both"/>
        <w:textAlignment w:val="auto"/>
        <w:rPr>
          <w:rFonts w:ascii="Times New Roman" w:hAnsi="Times New Roman" w:eastAsia="Times New Roman" w:cs="Times New Roman"/>
        </w:rPr>
      </w:pPr>
      <w:bookmarkStart w:id="20" w:name="_GoBack"/>
      <w:bookmarkEnd w:id="20"/>
    </w:p>
    <w:sectPr>
      <w:footerReference r:id="rId4" w:type="first"/>
      <w:footerReference r:id="rId3" w:type="default"/>
      <w:pgSz w:w="12240" w:h="15840"/>
      <w:pgMar w:top="1440" w:right="1440" w:bottom="1440" w:left="1440" w:header="0" w:footer="720" w:gutter="0"/>
      <w:pgBorders>
        <w:top w:val="none" w:sz="0" w:space="0"/>
        <w:left w:val="none" w:sz="0" w:space="0"/>
        <w:bottom w:val="none" w:sz="0" w:space="0"/>
        <w:right w:val="none" w:sz="0" w:space="0"/>
      </w:pgBorders>
      <w:lnNumType w:countBy="1" w:restart="continuous"/>
      <w:pgNumType w:fmt="decimal" w:start="0"/>
      <w:formProt w:val="0"/>
      <w:titlePg/>
      <w:docGrid w:linePitch="240" w:charSpace="-2049"/>
      <mc:AlternateContent>
        <mc:Choice Requires="wpsCustomData">
          <wpsCustomData:blankLineNoLineNum/>
        </mc:Choice>
      </mc:AlternateContent>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Arial"/>
    <w:panose1 w:val="00000000000000000000"/>
    <w:charset w:val="86"/>
    <w:family w:val="auto"/>
    <w:pitch w:val="default"/>
    <w:sig w:usb0="00000000" w:usb1="00000000" w:usb2="00000000" w:usb3="00000000" w:csb0="00000000" w:csb1="00000000"/>
  </w:font>
  <w:font w:name="Wingdings">
    <w:altName w:val="Abyssinica SIL"/>
    <w:panose1 w:val="05000000000000000000"/>
    <w:charset w:val="00"/>
    <w:family w:val="auto"/>
    <w:pitch w:val="default"/>
    <w:sig w:usb0="00000000" w:usb1="10000000" w:usb2="00000000" w:usb3="00000000" w:csb0="80000000" w:csb1="00000000"/>
  </w:font>
  <w:font w:name="Arial">
    <w:panose1 w:val="020B0604020202020204"/>
    <w:charset w:val="86"/>
    <w:family w:val="swiss"/>
    <w:pitch w:val="default"/>
    <w:sig w:usb0="00007A87" w:usb1="80000000" w:usb2="00000008" w:usb3="00000000" w:csb0="400001FF" w:csb1="FFFF0000"/>
  </w:font>
  <w:font w:name="黑体">
    <w:altName w:val="Arial"/>
    <w:panose1 w:val="02010600030101010101"/>
    <w:charset w:val="00"/>
    <w:family w:val="auto"/>
    <w:pitch w:val="default"/>
    <w:sig w:usb0="00000001" w:usb1="080E0000" w:usb2="00000010" w:usb3="00000000" w:csb0="00040000" w:csb1="00000000"/>
  </w:font>
  <w:font w:name="Courier New">
    <w:panose1 w:val="02070309020205020404"/>
    <w:charset w:val="00"/>
    <w:family w:val="modern"/>
    <w:pitch w:val="default"/>
    <w:sig w:usb0="00007A87" w:usb1="80000000" w:usb2="00000008" w:usb3="00000000" w:csb0="400001FF" w:csb1="FFFF0000"/>
  </w:font>
  <w:font w:name="Calibri">
    <w:altName w:val="Arial"/>
    <w:panose1 w:val="020F0502020204030204"/>
    <w:charset w:val="00"/>
    <w:family w:val="swiss"/>
    <w:pitch w:val="default"/>
    <w:sig w:usb0="00000000" w:usb1="00000000" w:usb2="00000001" w:usb3="00000000" w:csb0="0000019F" w:csb1="00000000"/>
  </w:font>
  <w:font w:name="Abyssinica SIL">
    <w:panose1 w:val="02000603020000020004"/>
    <w:charset w:val="00"/>
    <w:family w:val="auto"/>
    <w:pitch w:val="default"/>
    <w:sig w:usb0="800000EF" w:usb1="5000A04B" w:usb2="00000828" w:usb3="00000000" w:csb0="20000001" w:csb1="00000000"/>
  </w:font>
  <w:font w:name="SimSun">
    <w:altName w:val="Arial"/>
    <w:panose1 w:val="00000000000000000000"/>
    <w:charset w:val="86"/>
    <w:family w:val="auto"/>
    <w:pitch w:val="default"/>
    <w:sig w:usb0="00000000" w:usb1="00000000" w:usb2="00000000" w:usb3="00000000" w:csb0="00000000" w:csb1="00000000"/>
  </w:font>
  <w:font w:name="FreeSans">
    <w:panose1 w:val="020B0504020202020204"/>
    <w:charset w:val="00"/>
    <w:family w:val="auto"/>
    <w:pitch w:val="default"/>
    <w:sig w:usb0="E4839EFF" w:usb1="4600FDFF" w:usb2="000030A0" w:usb3="00000584" w:csb0="600001BF" w:csb1="DFF70000"/>
  </w:font>
  <w:font w:name="Liberation Sans">
    <w:panose1 w:val="020B0604020202020204"/>
    <w:charset w:val="01"/>
    <w:family w:val="swiss"/>
    <w:pitch w:val="default"/>
    <w:sig w:usb0="A00002AF" w:usb1="500078FB" w:usb2="00000000" w:usb3="00000000" w:csb0="6000009F" w:csb1="DFD70000"/>
  </w:font>
  <w:font w:name="Noto Sans CJK SC Regular">
    <w:panose1 w:val="020B0500000000000000"/>
    <w:charset w:val="86"/>
    <w:family w:val="auto"/>
    <w:pitch w:val="default"/>
    <w:sig w:usb0="30000003" w:usb1="2BDF3C10" w:usb2="00000016" w:usb3="00000000" w:csb0="602E0107" w:csb1="00000000"/>
  </w:font>
  <w:font w:name="Wingdings">
    <w:altName w:val="Webdings"/>
    <w:panose1 w:val="05000000000000000000"/>
    <w:charset w:val="02"/>
    <w:family w:val="auto"/>
    <w:pitch w:val="default"/>
    <w:sig w:usb0="00000000" w:usb1="00000000" w:usb2="00000000" w:usb3="00000000" w:csb0="80000000" w:csb1="00000000"/>
  </w:font>
  <w:font w:name="Wingdings 2">
    <w:altName w:val="Webdings"/>
    <w:panose1 w:val="05020102010507070707"/>
    <w:charset w:val="02"/>
    <w:family w:val="auto"/>
    <w:pitch w:val="default"/>
    <w:sig w:usb0="00000000" w:usb1="00000000" w:usb2="00000000" w:usb3="00000000" w:csb0="80000000" w:csb1="00000000"/>
  </w:font>
  <w:font w:name="OpenSymbol">
    <w:panose1 w:val="05010000000000000000"/>
    <w:charset w:val="01"/>
    <w:family w:val="auto"/>
    <w:pitch w:val="default"/>
    <w:sig w:usb0="800000AF" w:usb1="1001ECEA" w:usb2="00000000" w:usb3="00000000" w:csb0="00000001" w:csb1="00000000"/>
  </w:font>
  <w:font w:name="Microsoft YaHei">
    <w:altName w:val="文泉驿微米黑"/>
    <w:panose1 w:val="00000000000000000000"/>
    <w:charset w:val="00"/>
    <w:family w:val="auto"/>
    <w:pitch w:val="default"/>
    <w:sig w:usb0="00000000" w:usb1="00000000" w:usb2="00000000" w:usb3="00000000" w:csb0="00000000" w:csb1="00000000"/>
  </w:font>
  <w:font w:name="Tahoma">
    <w:altName w:val="Latin Modern Mono Prop"/>
    <w:panose1 w:val="00000000000000000000"/>
    <w:charset w:val="00"/>
    <w:family w:val="auto"/>
    <w:pitch w:val="default"/>
    <w:sig w:usb0="00000000" w:usb1="00000000" w:usb2="00000000" w:usb3="00000000" w:csb0="00000000" w:csb1="00000000"/>
  </w:font>
  <w:font w:name="文泉驿微米黑">
    <w:panose1 w:val="020B0606030804020204"/>
    <w:charset w:val="86"/>
    <w:family w:val="auto"/>
    <w:pitch w:val="default"/>
    <w:sig w:usb0="E10002EF" w:usb1="6BDFFCFB" w:usb2="00800036" w:usb3="00000000" w:csb0="603E019F" w:csb1="DFD70000"/>
  </w:font>
  <w:font w:name="DejaVa Sans">
    <w:altName w:val="Latin Modern Mono Prop"/>
    <w:panose1 w:val="00000000000000000000"/>
    <w:charset w:val="00"/>
    <w:family w:val="auto"/>
    <w:pitch w:val="default"/>
    <w:sig w:usb0="00000000" w:usb1="00000000" w:usb2="00000000" w:usb3="00000000" w:csb0="00000000" w:csb1="00000000"/>
  </w:font>
  <w:font w:name="Latin Modern Mono Prop">
    <w:panose1 w:val="00000500000000000000"/>
    <w:charset w:val="00"/>
    <w:family w:val="auto"/>
    <w:pitch w:val="default"/>
    <w:sig w:usb0="20000007" w:usb1="00000000" w:usb2="00000000" w:usb3="00000000" w:csb0="20000193" w:csb1="00000000"/>
  </w:font>
  <w:font w:name="Webdings">
    <w:panose1 w:val="05030102010509060703"/>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pPr>
    <w:r>
      <w:fldChar w:fldCharType="begin"/>
    </w:r>
    <w:r>
      <w:instrText xml:space="preserve">PAGE</w:instrText>
    </w:r>
    <w:r>
      <w:fldChar w:fldCharType="separate"/>
    </w:r>
    <w:r>
      <w:t>26</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3EE9DA7"/>
    <w:multiLevelType w:val="multilevel"/>
    <w:tmpl w:val="93EE9DA7"/>
    <w:lvl w:ilvl="0" w:tentative="0">
      <w:start w:val="1"/>
      <w:numFmt w:val="bullet"/>
      <w:lvlText w:val=""/>
      <w:lvlJc w:val="left"/>
      <w:pPr>
        <w:ind w:left="720" w:hanging="360"/>
      </w:pPr>
      <w:rPr>
        <w:rFonts w:hint="default" w:ascii="Wingdings" w:hAnsi="Wingdings" w:cs="Wingdings"/>
        <w:sz w:val="18"/>
        <w:u w:val="none"/>
      </w:rPr>
    </w:lvl>
    <w:lvl w:ilvl="1" w:tentative="0">
      <w:start w:val="1"/>
      <w:numFmt w:val="bullet"/>
      <w:lvlText w:val=""/>
      <w:lvlJc w:val="left"/>
      <w:pPr>
        <w:ind w:left="1440" w:hanging="360"/>
      </w:pPr>
      <w:rPr>
        <w:rFonts w:hint="default" w:ascii="Wingdings 2" w:hAnsi="Wingdings 2" w:cs="Wingdings 2"/>
        <w:u w:val="none"/>
      </w:rPr>
    </w:lvl>
    <w:lvl w:ilvl="2" w:tentative="0">
      <w:start w:val="1"/>
      <w:numFmt w:val="bullet"/>
      <w:lvlText w:val="■"/>
      <w:lvlJc w:val="left"/>
      <w:pPr>
        <w:ind w:left="2160" w:hanging="360"/>
      </w:pPr>
      <w:rPr>
        <w:rFonts w:hint="default" w:ascii="OpenSymbol" w:hAnsi="OpenSymbol" w:cs="OpenSymbol"/>
        <w:u w:val="none"/>
      </w:rPr>
    </w:lvl>
    <w:lvl w:ilvl="3" w:tentative="0">
      <w:start w:val="1"/>
      <w:numFmt w:val="bullet"/>
      <w:lvlText w:val=""/>
      <w:lvlJc w:val="left"/>
      <w:pPr>
        <w:ind w:left="2880" w:hanging="360"/>
      </w:pPr>
      <w:rPr>
        <w:rFonts w:hint="default" w:ascii="Wingdings" w:hAnsi="Wingdings" w:cs="Wingdings"/>
        <w:u w:val="none"/>
      </w:rPr>
    </w:lvl>
    <w:lvl w:ilvl="4" w:tentative="0">
      <w:start w:val="1"/>
      <w:numFmt w:val="bullet"/>
      <w:lvlText w:val=""/>
      <w:lvlJc w:val="left"/>
      <w:pPr>
        <w:ind w:left="3600" w:hanging="360"/>
      </w:pPr>
      <w:rPr>
        <w:rFonts w:hint="default" w:ascii="Wingdings 2" w:hAnsi="Wingdings 2" w:cs="Wingdings 2"/>
        <w:u w:val="none"/>
      </w:rPr>
    </w:lvl>
    <w:lvl w:ilvl="5" w:tentative="0">
      <w:start w:val="1"/>
      <w:numFmt w:val="bullet"/>
      <w:lvlText w:val="■"/>
      <w:lvlJc w:val="left"/>
      <w:pPr>
        <w:ind w:left="4320" w:hanging="360"/>
      </w:pPr>
      <w:rPr>
        <w:rFonts w:hint="default" w:ascii="OpenSymbol" w:hAnsi="OpenSymbol" w:cs="OpenSymbol"/>
        <w:u w:val="none"/>
      </w:rPr>
    </w:lvl>
    <w:lvl w:ilvl="6" w:tentative="0">
      <w:start w:val="1"/>
      <w:numFmt w:val="bullet"/>
      <w:lvlText w:val=""/>
      <w:lvlJc w:val="left"/>
      <w:pPr>
        <w:ind w:left="5040" w:hanging="360"/>
      </w:pPr>
      <w:rPr>
        <w:rFonts w:hint="default" w:ascii="Wingdings" w:hAnsi="Wingdings" w:cs="Wingdings"/>
        <w:u w:val="none"/>
      </w:rPr>
    </w:lvl>
    <w:lvl w:ilvl="7" w:tentative="0">
      <w:start w:val="1"/>
      <w:numFmt w:val="bullet"/>
      <w:lvlText w:val=""/>
      <w:lvlJc w:val="left"/>
      <w:pPr>
        <w:ind w:left="5760" w:hanging="360"/>
      </w:pPr>
      <w:rPr>
        <w:rFonts w:hint="default" w:ascii="Wingdings 2" w:hAnsi="Wingdings 2" w:cs="Wingdings 2"/>
        <w:u w:val="none"/>
      </w:rPr>
    </w:lvl>
    <w:lvl w:ilvl="8" w:tentative="0">
      <w:start w:val="1"/>
      <w:numFmt w:val="bullet"/>
      <w:lvlText w:val="■"/>
      <w:lvlJc w:val="left"/>
      <w:pPr>
        <w:ind w:left="6480" w:hanging="360"/>
      </w:pPr>
      <w:rPr>
        <w:rFonts w:hint="default" w:ascii="OpenSymbol" w:hAnsi="OpenSymbol" w:cs="OpenSymbol"/>
        <w:u w:val="none"/>
      </w:rPr>
    </w:lvl>
  </w:abstractNum>
  <w:abstractNum w:abstractNumId="1">
    <w:nsid w:val="BB03EA11"/>
    <w:multiLevelType w:val="multilevel"/>
    <w:tmpl w:val="BB03EA11"/>
    <w:lvl w:ilvl="0" w:tentative="0">
      <w:start w:val="1"/>
      <w:numFmt w:val="bullet"/>
      <w:lvlText w:val=""/>
      <w:lvlJc w:val="left"/>
      <w:pPr>
        <w:ind w:left="720" w:hanging="360"/>
      </w:pPr>
      <w:rPr>
        <w:rFonts w:hint="default" w:ascii="Wingdings" w:hAnsi="Wingdings" w:cs="Wingdings"/>
        <w:sz w:val="18"/>
        <w:u w:val="none"/>
      </w:rPr>
    </w:lvl>
    <w:lvl w:ilvl="1" w:tentative="0">
      <w:start w:val="1"/>
      <w:numFmt w:val="bullet"/>
      <w:lvlText w:val=""/>
      <w:lvlJc w:val="left"/>
      <w:pPr>
        <w:ind w:left="1440" w:hanging="360"/>
      </w:pPr>
      <w:rPr>
        <w:rFonts w:hint="default" w:ascii="Wingdings 2" w:hAnsi="Wingdings 2" w:cs="Wingdings 2"/>
        <w:u w:val="none"/>
      </w:rPr>
    </w:lvl>
    <w:lvl w:ilvl="2" w:tentative="0">
      <w:start w:val="1"/>
      <w:numFmt w:val="bullet"/>
      <w:lvlText w:val="■"/>
      <w:lvlJc w:val="left"/>
      <w:pPr>
        <w:ind w:left="2160" w:hanging="360"/>
      </w:pPr>
      <w:rPr>
        <w:rFonts w:hint="default" w:ascii="OpenSymbol" w:hAnsi="OpenSymbol" w:cs="OpenSymbol"/>
        <w:u w:val="none"/>
      </w:rPr>
    </w:lvl>
    <w:lvl w:ilvl="3" w:tentative="0">
      <w:start w:val="1"/>
      <w:numFmt w:val="bullet"/>
      <w:lvlText w:val=""/>
      <w:lvlJc w:val="left"/>
      <w:pPr>
        <w:ind w:left="2880" w:hanging="360"/>
      </w:pPr>
      <w:rPr>
        <w:rFonts w:hint="default" w:ascii="Wingdings" w:hAnsi="Wingdings" w:cs="Wingdings"/>
        <w:u w:val="none"/>
      </w:rPr>
    </w:lvl>
    <w:lvl w:ilvl="4" w:tentative="0">
      <w:start w:val="1"/>
      <w:numFmt w:val="bullet"/>
      <w:lvlText w:val=""/>
      <w:lvlJc w:val="left"/>
      <w:pPr>
        <w:ind w:left="3600" w:hanging="360"/>
      </w:pPr>
      <w:rPr>
        <w:rFonts w:hint="default" w:ascii="Wingdings 2" w:hAnsi="Wingdings 2" w:cs="Wingdings 2"/>
        <w:u w:val="none"/>
      </w:rPr>
    </w:lvl>
    <w:lvl w:ilvl="5" w:tentative="0">
      <w:start w:val="1"/>
      <w:numFmt w:val="bullet"/>
      <w:lvlText w:val="■"/>
      <w:lvlJc w:val="left"/>
      <w:pPr>
        <w:ind w:left="4320" w:hanging="360"/>
      </w:pPr>
      <w:rPr>
        <w:rFonts w:hint="default" w:ascii="OpenSymbol" w:hAnsi="OpenSymbol" w:cs="OpenSymbol"/>
        <w:u w:val="none"/>
      </w:rPr>
    </w:lvl>
    <w:lvl w:ilvl="6" w:tentative="0">
      <w:start w:val="1"/>
      <w:numFmt w:val="bullet"/>
      <w:lvlText w:val=""/>
      <w:lvlJc w:val="left"/>
      <w:pPr>
        <w:ind w:left="5040" w:hanging="360"/>
      </w:pPr>
      <w:rPr>
        <w:rFonts w:hint="default" w:ascii="Wingdings" w:hAnsi="Wingdings" w:cs="Wingdings"/>
        <w:u w:val="none"/>
      </w:rPr>
    </w:lvl>
    <w:lvl w:ilvl="7" w:tentative="0">
      <w:start w:val="1"/>
      <w:numFmt w:val="bullet"/>
      <w:lvlText w:val=""/>
      <w:lvlJc w:val="left"/>
      <w:pPr>
        <w:ind w:left="5760" w:hanging="360"/>
      </w:pPr>
      <w:rPr>
        <w:rFonts w:hint="default" w:ascii="Wingdings 2" w:hAnsi="Wingdings 2" w:cs="Wingdings 2"/>
        <w:u w:val="none"/>
      </w:rPr>
    </w:lvl>
    <w:lvl w:ilvl="8" w:tentative="0">
      <w:start w:val="1"/>
      <w:numFmt w:val="bullet"/>
      <w:lvlText w:val="■"/>
      <w:lvlJc w:val="left"/>
      <w:pPr>
        <w:ind w:left="6480" w:hanging="360"/>
      </w:pPr>
      <w:rPr>
        <w:rFonts w:hint="default" w:ascii="OpenSymbol" w:hAnsi="OpenSymbol" w:cs="OpenSymbol"/>
        <w:u w:val="none"/>
      </w:rPr>
    </w:lvl>
  </w:abstractNum>
  <w:abstractNum w:abstractNumId="2">
    <w:nsid w:val="BF3ED08D"/>
    <w:multiLevelType w:val="multilevel"/>
    <w:tmpl w:val="BF3ED08D"/>
    <w:lvl w:ilvl="0" w:tentative="0">
      <w:start w:val="1"/>
      <w:numFmt w:val="bullet"/>
      <w:lvlText w:val=""/>
      <w:lvlJc w:val="left"/>
      <w:pPr>
        <w:ind w:left="720" w:hanging="360"/>
      </w:pPr>
      <w:rPr>
        <w:rFonts w:hint="default" w:ascii="Wingdings" w:hAnsi="Wingdings" w:cs="Wingdings"/>
        <w:sz w:val="18"/>
        <w:u w:val="none"/>
      </w:rPr>
    </w:lvl>
    <w:lvl w:ilvl="1" w:tentative="0">
      <w:start w:val="1"/>
      <w:numFmt w:val="bullet"/>
      <w:lvlText w:val=""/>
      <w:lvlJc w:val="left"/>
      <w:pPr>
        <w:ind w:left="1440" w:hanging="360"/>
      </w:pPr>
      <w:rPr>
        <w:rFonts w:hint="default" w:ascii="Wingdings 2" w:hAnsi="Wingdings 2" w:cs="Wingdings 2"/>
        <w:u w:val="none"/>
      </w:rPr>
    </w:lvl>
    <w:lvl w:ilvl="2" w:tentative="0">
      <w:start w:val="1"/>
      <w:numFmt w:val="bullet"/>
      <w:lvlText w:val="■"/>
      <w:lvlJc w:val="left"/>
      <w:pPr>
        <w:ind w:left="2160" w:hanging="360"/>
      </w:pPr>
      <w:rPr>
        <w:rFonts w:hint="default" w:ascii="OpenSymbol" w:hAnsi="OpenSymbol" w:cs="OpenSymbol"/>
        <w:u w:val="none"/>
      </w:rPr>
    </w:lvl>
    <w:lvl w:ilvl="3" w:tentative="0">
      <w:start w:val="1"/>
      <w:numFmt w:val="bullet"/>
      <w:lvlText w:val=""/>
      <w:lvlJc w:val="left"/>
      <w:pPr>
        <w:ind w:left="2880" w:hanging="360"/>
      </w:pPr>
      <w:rPr>
        <w:rFonts w:hint="default" w:ascii="Wingdings" w:hAnsi="Wingdings" w:cs="Wingdings"/>
        <w:u w:val="none"/>
      </w:rPr>
    </w:lvl>
    <w:lvl w:ilvl="4" w:tentative="0">
      <w:start w:val="1"/>
      <w:numFmt w:val="bullet"/>
      <w:lvlText w:val=""/>
      <w:lvlJc w:val="left"/>
      <w:pPr>
        <w:ind w:left="3600" w:hanging="360"/>
      </w:pPr>
      <w:rPr>
        <w:rFonts w:hint="default" w:ascii="Wingdings 2" w:hAnsi="Wingdings 2" w:cs="Wingdings 2"/>
        <w:u w:val="none"/>
      </w:rPr>
    </w:lvl>
    <w:lvl w:ilvl="5" w:tentative="0">
      <w:start w:val="1"/>
      <w:numFmt w:val="bullet"/>
      <w:lvlText w:val="■"/>
      <w:lvlJc w:val="left"/>
      <w:pPr>
        <w:ind w:left="4320" w:hanging="360"/>
      </w:pPr>
      <w:rPr>
        <w:rFonts w:hint="default" w:ascii="OpenSymbol" w:hAnsi="OpenSymbol" w:cs="OpenSymbol"/>
        <w:u w:val="none"/>
      </w:rPr>
    </w:lvl>
    <w:lvl w:ilvl="6" w:tentative="0">
      <w:start w:val="1"/>
      <w:numFmt w:val="bullet"/>
      <w:lvlText w:val=""/>
      <w:lvlJc w:val="left"/>
      <w:pPr>
        <w:ind w:left="5040" w:hanging="360"/>
      </w:pPr>
      <w:rPr>
        <w:rFonts w:hint="default" w:ascii="Wingdings" w:hAnsi="Wingdings" w:cs="Wingdings"/>
        <w:u w:val="none"/>
      </w:rPr>
    </w:lvl>
    <w:lvl w:ilvl="7" w:tentative="0">
      <w:start w:val="1"/>
      <w:numFmt w:val="bullet"/>
      <w:lvlText w:val=""/>
      <w:lvlJc w:val="left"/>
      <w:pPr>
        <w:ind w:left="5760" w:hanging="360"/>
      </w:pPr>
      <w:rPr>
        <w:rFonts w:hint="default" w:ascii="Wingdings 2" w:hAnsi="Wingdings 2" w:cs="Wingdings 2"/>
        <w:u w:val="none"/>
      </w:rPr>
    </w:lvl>
    <w:lvl w:ilvl="8" w:tentative="0">
      <w:start w:val="1"/>
      <w:numFmt w:val="bullet"/>
      <w:lvlText w:val="■"/>
      <w:lvlJc w:val="left"/>
      <w:pPr>
        <w:ind w:left="6480" w:hanging="360"/>
      </w:pPr>
      <w:rPr>
        <w:rFonts w:hint="default" w:ascii="OpenSymbol" w:hAnsi="OpenSymbol" w:cs="OpenSymbol"/>
        <w:u w:val="none"/>
      </w:rPr>
    </w:lvl>
  </w:abstractNum>
  <w:abstractNum w:abstractNumId="3">
    <w:nsid w:val="E7B7455A"/>
    <w:multiLevelType w:val="multilevel"/>
    <w:tmpl w:val="E7B7455A"/>
    <w:lvl w:ilvl="0" w:tentative="0">
      <w:start w:val="1"/>
      <w:numFmt w:val="bullet"/>
      <w:lvlText w:val=""/>
      <w:lvlJc w:val="left"/>
      <w:pPr>
        <w:ind w:left="720" w:hanging="360"/>
      </w:pPr>
      <w:rPr>
        <w:rFonts w:hint="default" w:ascii="Wingdings" w:hAnsi="Wingdings" w:cs="Wingdings"/>
        <w:sz w:val="18"/>
        <w:u w:val="none"/>
      </w:rPr>
    </w:lvl>
    <w:lvl w:ilvl="1" w:tentative="0">
      <w:start w:val="1"/>
      <w:numFmt w:val="bullet"/>
      <w:lvlText w:val=""/>
      <w:lvlJc w:val="left"/>
      <w:pPr>
        <w:ind w:left="1440" w:hanging="360"/>
      </w:pPr>
      <w:rPr>
        <w:rFonts w:hint="default" w:ascii="Wingdings 2" w:hAnsi="Wingdings 2" w:cs="Wingdings 2"/>
        <w:u w:val="none"/>
      </w:rPr>
    </w:lvl>
    <w:lvl w:ilvl="2" w:tentative="0">
      <w:start w:val="1"/>
      <w:numFmt w:val="bullet"/>
      <w:lvlText w:val="■"/>
      <w:lvlJc w:val="left"/>
      <w:pPr>
        <w:ind w:left="2160" w:hanging="360"/>
      </w:pPr>
      <w:rPr>
        <w:rFonts w:hint="default" w:ascii="OpenSymbol" w:hAnsi="OpenSymbol" w:cs="OpenSymbol"/>
        <w:u w:val="none"/>
      </w:rPr>
    </w:lvl>
    <w:lvl w:ilvl="3" w:tentative="0">
      <w:start w:val="1"/>
      <w:numFmt w:val="bullet"/>
      <w:lvlText w:val=""/>
      <w:lvlJc w:val="left"/>
      <w:pPr>
        <w:ind w:left="2880" w:hanging="360"/>
      </w:pPr>
      <w:rPr>
        <w:rFonts w:hint="default" w:ascii="Wingdings" w:hAnsi="Wingdings" w:cs="Wingdings"/>
        <w:u w:val="none"/>
      </w:rPr>
    </w:lvl>
    <w:lvl w:ilvl="4" w:tentative="0">
      <w:start w:val="1"/>
      <w:numFmt w:val="bullet"/>
      <w:lvlText w:val=""/>
      <w:lvlJc w:val="left"/>
      <w:pPr>
        <w:ind w:left="3600" w:hanging="360"/>
      </w:pPr>
      <w:rPr>
        <w:rFonts w:hint="default" w:ascii="Wingdings 2" w:hAnsi="Wingdings 2" w:cs="Wingdings 2"/>
        <w:u w:val="none"/>
      </w:rPr>
    </w:lvl>
    <w:lvl w:ilvl="5" w:tentative="0">
      <w:start w:val="1"/>
      <w:numFmt w:val="bullet"/>
      <w:lvlText w:val="■"/>
      <w:lvlJc w:val="left"/>
      <w:pPr>
        <w:ind w:left="4320" w:hanging="360"/>
      </w:pPr>
      <w:rPr>
        <w:rFonts w:hint="default" w:ascii="OpenSymbol" w:hAnsi="OpenSymbol" w:cs="OpenSymbol"/>
        <w:u w:val="none"/>
      </w:rPr>
    </w:lvl>
    <w:lvl w:ilvl="6" w:tentative="0">
      <w:start w:val="1"/>
      <w:numFmt w:val="bullet"/>
      <w:lvlText w:val=""/>
      <w:lvlJc w:val="left"/>
      <w:pPr>
        <w:ind w:left="5040" w:hanging="360"/>
      </w:pPr>
      <w:rPr>
        <w:rFonts w:hint="default" w:ascii="Wingdings" w:hAnsi="Wingdings" w:cs="Wingdings"/>
        <w:u w:val="none"/>
      </w:rPr>
    </w:lvl>
    <w:lvl w:ilvl="7" w:tentative="0">
      <w:start w:val="1"/>
      <w:numFmt w:val="bullet"/>
      <w:lvlText w:val=""/>
      <w:lvlJc w:val="left"/>
      <w:pPr>
        <w:ind w:left="5760" w:hanging="360"/>
      </w:pPr>
      <w:rPr>
        <w:rFonts w:hint="default" w:ascii="Wingdings 2" w:hAnsi="Wingdings 2" w:cs="Wingdings 2"/>
        <w:u w:val="none"/>
      </w:rPr>
    </w:lvl>
    <w:lvl w:ilvl="8" w:tentative="0">
      <w:start w:val="1"/>
      <w:numFmt w:val="bullet"/>
      <w:lvlText w:val="■"/>
      <w:lvlJc w:val="left"/>
      <w:pPr>
        <w:ind w:left="6480" w:hanging="360"/>
      </w:pPr>
      <w:rPr>
        <w:rFonts w:hint="default" w:ascii="OpenSymbol" w:hAnsi="OpenSymbol" w:cs="OpenSymbol"/>
        <w:u w:val="none"/>
      </w:rPr>
    </w:lvl>
  </w:abstractNum>
  <w:abstractNum w:abstractNumId="4">
    <w:nsid w:val="EFEA0AA2"/>
    <w:multiLevelType w:val="multilevel"/>
    <w:tmpl w:val="EFEA0AA2"/>
    <w:lvl w:ilvl="0" w:tentative="0">
      <w:start w:val="1"/>
      <w:numFmt w:val="bullet"/>
      <w:lvlText w:val=""/>
      <w:lvlJc w:val="left"/>
      <w:pPr>
        <w:ind w:left="720" w:hanging="360"/>
      </w:pPr>
      <w:rPr>
        <w:rFonts w:hint="default" w:ascii="Wingdings" w:hAnsi="Wingdings" w:cs="Wingdings"/>
        <w:sz w:val="18"/>
        <w:u w:val="none"/>
      </w:rPr>
    </w:lvl>
    <w:lvl w:ilvl="1" w:tentative="0">
      <w:start w:val="1"/>
      <w:numFmt w:val="bullet"/>
      <w:lvlText w:val=""/>
      <w:lvlJc w:val="left"/>
      <w:pPr>
        <w:ind w:left="1440" w:hanging="360"/>
      </w:pPr>
      <w:rPr>
        <w:rFonts w:hint="default" w:ascii="Wingdings 2" w:hAnsi="Wingdings 2" w:cs="Wingdings 2"/>
        <w:u w:val="none"/>
      </w:rPr>
    </w:lvl>
    <w:lvl w:ilvl="2" w:tentative="0">
      <w:start w:val="1"/>
      <w:numFmt w:val="bullet"/>
      <w:lvlText w:val="■"/>
      <w:lvlJc w:val="left"/>
      <w:pPr>
        <w:ind w:left="2160" w:hanging="360"/>
      </w:pPr>
      <w:rPr>
        <w:rFonts w:hint="default" w:ascii="OpenSymbol" w:hAnsi="OpenSymbol" w:cs="OpenSymbol"/>
        <w:u w:val="none"/>
      </w:rPr>
    </w:lvl>
    <w:lvl w:ilvl="3" w:tentative="0">
      <w:start w:val="1"/>
      <w:numFmt w:val="bullet"/>
      <w:lvlText w:val=""/>
      <w:lvlJc w:val="left"/>
      <w:pPr>
        <w:ind w:left="2880" w:hanging="360"/>
      </w:pPr>
      <w:rPr>
        <w:rFonts w:hint="default" w:ascii="Wingdings" w:hAnsi="Wingdings" w:cs="Wingdings"/>
        <w:u w:val="none"/>
      </w:rPr>
    </w:lvl>
    <w:lvl w:ilvl="4" w:tentative="0">
      <w:start w:val="1"/>
      <w:numFmt w:val="bullet"/>
      <w:lvlText w:val=""/>
      <w:lvlJc w:val="left"/>
      <w:pPr>
        <w:ind w:left="3600" w:hanging="360"/>
      </w:pPr>
      <w:rPr>
        <w:rFonts w:hint="default" w:ascii="Wingdings 2" w:hAnsi="Wingdings 2" w:cs="Wingdings 2"/>
        <w:u w:val="none"/>
      </w:rPr>
    </w:lvl>
    <w:lvl w:ilvl="5" w:tentative="0">
      <w:start w:val="1"/>
      <w:numFmt w:val="bullet"/>
      <w:lvlText w:val="■"/>
      <w:lvlJc w:val="left"/>
      <w:pPr>
        <w:ind w:left="4320" w:hanging="360"/>
      </w:pPr>
      <w:rPr>
        <w:rFonts w:hint="default" w:ascii="OpenSymbol" w:hAnsi="OpenSymbol" w:cs="OpenSymbol"/>
        <w:u w:val="none"/>
      </w:rPr>
    </w:lvl>
    <w:lvl w:ilvl="6" w:tentative="0">
      <w:start w:val="1"/>
      <w:numFmt w:val="bullet"/>
      <w:lvlText w:val=""/>
      <w:lvlJc w:val="left"/>
      <w:pPr>
        <w:ind w:left="5040" w:hanging="360"/>
      </w:pPr>
      <w:rPr>
        <w:rFonts w:hint="default" w:ascii="Wingdings" w:hAnsi="Wingdings" w:cs="Wingdings"/>
        <w:u w:val="none"/>
      </w:rPr>
    </w:lvl>
    <w:lvl w:ilvl="7" w:tentative="0">
      <w:start w:val="1"/>
      <w:numFmt w:val="bullet"/>
      <w:lvlText w:val=""/>
      <w:lvlJc w:val="left"/>
      <w:pPr>
        <w:ind w:left="5760" w:hanging="360"/>
      </w:pPr>
      <w:rPr>
        <w:rFonts w:hint="default" w:ascii="Wingdings 2" w:hAnsi="Wingdings 2" w:cs="Wingdings 2"/>
        <w:u w:val="none"/>
      </w:rPr>
    </w:lvl>
    <w:lvl w:ilvl="8" w:tentative="0">
      <w:start w:val="1"/>
      <w:numFmt w:val="bullet"/>
      <w:lvlText w:val="■"/>
      <w:lvlJc w:val="left"/>
      <w:pPr>
        <w:ind w:left="6480" w:hanging="360"/>
      </w:pPr>
      <w:rPr>
        <w:rFonts w:hint="default" w:ascii="OpenSymbol" w:hAnsi="OpenSymbol" w:cs="OpenSymbol"/>
        <w:u w:val="none"/>
      </w:rPr>
    </w:lvl>
  </w:abstractNum>
  <w:abstractNum w:abstractNumId="5">
    <w:nsid w:val="FF62EEBF"/>
    <w:multiLevelType w:val="multilevel"/>
    <w:tmpl w:val="FF62EEBF"/>
    <w:lvl w:ilvl="0" w:tentative="0">
      <w:start w:val="1"/>
      <w:numFmt w:val="bullet"/>
      <w:lvlText w:val=""/>
      <w:lvlJc w:val="left"/>
      <w:pPr>
        <w:ind w:left="720" w:hanging="360"/>
      </w:pPr>
      <w:rPr>
        <w:rFonts w:hint="default" w:ascii="Wingdings" w:hAnsi="Wingdings" w:cs="Wingdings"/>
        <w:sz w:val="18"/>
        <w:u w:val="none"/>
      </w:rPr>
    </w:lvl>
    <w:lvl w:ilvl="1" w:tentative="0">
      <w:start w:val="1"/>
      <w:numFmt w:val="bullet"/>
      <w:lvlText w:val=""/>
      <w:lvlJc w:val="left"/>
      <w:pPr>
        <w:ind w:left="1440" w:hanging="360"/>
      </w:pPr>
      <w:rPr>
        <w:rFonts w:hint="default" w:ascii="Wingdings 2" w:hAnsi="Wingdings 2" w:cs="Wingdings 2"/>
        <w:u w:val="none"/>
      </w:rPr>
    </w:lvl>
    <w:lvl w:ilvl="2" w:tentative="0">
      <w:start w:val="1"/>
      <w:numFmt w:val="bullet"/>
      <w:lvlText w:val="■"/>
      <w:lvlJc w:val="left"/>
      <w:pPr>
        <w:ind w:left="2160" w:hanging="360"/>
      </w:pPr>
      <w:rPr>
        <w:rFonts w:hint="default" w:ascii="OpenSymbol" w:hAnsi="OpenSymbol" w:cs="OpenSymbol"/>
        <w:u w:val="none"/>
      </w:rPr>
    </w:lvl>
    <w:lvl w:ilvl="3" w:tentative="0">
      <w:start w:val="1"/>
      <w:numFmt w:val="bullet"/>
      <w:lvlText w:val=""/>
      <w:lvlJc w:val="left"/>
      <w:pPr>
        <w:ind w:left="2880" w:hanging="360"/>
      </w:pPr>
      <w:rPr>
        <w:rFonts w:hint="default" w:ascii="Wingdings" w:hAnsi="Wingdings" w:cs="Wingdings"/>
        <w:u w:val="none"/>
      </w:rPr>
    </w:lvl>
    <w:lvl w:ilvl="4" w:tentative="0">
      <w:start w:val="1"/>
      <w:numFmt w:val="bullet"/>
      <w:lvlText w:val=""/>
      <w:lvlJc w:val="left"/>
      <w:pPr>
        <w:ind w:left="3600" w:hanging="360"/>
      </w:pPr>
      <w:rPr>
        <w:rFonts w:hint="default" w:ascii="Wingdings 2" w:hAnsi="Wingdings 2" w:cs="Wingdings 2"/>
        <w:u w:val="none"/>
      </w:rPr>
    </w:lvl>
    <w:lvl w:ilvl="5" w:tentative="0">
      <w:start w:val="1"/>
      <w:numFmt w:val="bullet"/>
      <w:lvlText w:val="■"/>
      <w:lvlJc w:val="left"/>
      <w:pPr>
        <w:ind w:left="4320" w:hanging="360"/>
      </w:pPr>
      <w:rPr>
        <w:rFonts w:hint="default" w:ascii="OpenSymbol" w:hAnsi="OpenSymbol" w:cs="OpenSymbol"/>
        <w:u w:val="none"/>
      </w:rPr>
    </w:lvl>
    <w:lvl w:ilvl="6" w:tentative="0">
      <w:start w:val="1"/>
      <w:numFmt w:val="bullet"/>
      <w:lvlText w:val=""/>
      <w:lvlJc w:val="left"/>
      <w:pPr>
        <w:ind w:left="5040" w:hanging="360"/>
      </w:pPr>
      <w:rPr>
        <w:rFonts w:hint="default" w:ascii="Wingdings" w:hAnsi="Wingdings" w:cs="Wingdings"/>
        <w:u w:val="none"/>
      </w:rPr>
    </w:lvl>
    <w:lvl w:ilvl="7" w:tentative="0">
      <w:start w:val="1"/>
      <w:numFmt w:val="bullet"/>
      <w:lvlText w:val=""/>
      <w:lvlJc w:val="left"/>
      <w:pPr>
        <w:ind w:left="5760" w:hanging="360"/>
      </w:pPr>
      <w:rPr>
        <w:rFonts w:hint="default" w:ascii="Wingdings 2" w:hAnsi="Wingdings 2" w:cs="Wingdings 2"/>
        <w:u w:val="none"/>
      </w:rPr>
    </w:lvl>
    <w:lvl w:ilvl="8" w:tentative="0">
      <w:start w:val="1"/>
      <w:numFmt w:val="bullet"/>
      <w:lvlText w:val="■"/>
      <w:lvlJc w:val="left"/>
      <w:pPr>
        <w:ind w:left="6480" w:hanging="360"/>
      </w:pPr>
      <w:rPr>
        <w:rFonts w:hint="default" w:ascii="OpenSymbol" w:hAnsi="OpenSymbol" w:cs="OpenSymbol"/>
        <w:u w:val="none"/>
      </w:rPr>
    </w:lvl>
  </w:abstractNum>
  <w:num w:numId="1">
    <w:abstractNumId w:val="1"/>
  </w:num>
  <w:num w:numId="2">
    <w:abstractNumId w:val="5"/>
  </w:num>
  <w:num w:numId="3">
    <w:abstractNumId w:val="3"/>
  </w:num>
  <w:num w:numId="4">
    <w:abstractNumId w:val="2"/>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cumentProtection w:enforcement="0"/>
  <w:defaultTabStop w:val="720"/>
  <w:compat>
    <w:compatSetting w:name="compatibilityMode" w:uri="http://schemas.microsoft.com/office/word" w:val="15"/>
  </w:compat>
  <w:rsids>
    <w:rsidRoot w:val="00000000"/>
    <w:rsid w:val="3E1706A4"/>
    <w:rsid w:val="BF8590ED"/>
    <w:rsid w:val="FC9F4633"/>
    <w:rsid w:val="FE5A231F"/>
    <w:rsid w:val="FF5FEB2D"/>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Arial" w:hAnsi="Arial" w:eastAsia="Arial" w:cs="Arial"/>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76" w:lineRule="auto"/>
    </w:pPr>
    <w:rPr>
      <w:rFonts w:ascii="Arial" w:hAnsi="Arial" w:eastAsia="Arial" w:cs="Arial"/>
      <w:color w:val="auto"/>
      <w:sz w:val="22"/>
      <w:szCs w:val="22"/>
      <w:lang w:val="en" w:eastAsia="zh-CN" w:bidi="hi-IN"/>
    </w:rPr>
  </w:style>
  <w:style w:type="paragraph" w:styleId="2">
    <w:name w:val="heading 1"/>
    <w:basedOn w:val="3"/>
    <w:next w:val="1"/>
    <w:qFormat/>
    <w:uiPriority w:val="0"/>
    <w:pPr>
      <w:keepNext/>
      <w:keepLines/>
      <w:spacing w:before="400" w:after="120" w:line="240" w:lineRule="auto"/>
    </w:pPr>
    <w:rPr>
      <w:sz w:val="40"/>
      <w:szCs w:val="40"/>
    </w:rPr>
  </w:style>
  <w:style w:type="paragraph" w:styleId="4">
    <w:name w:val="heading 2"/>
    <w:basedOn w:val="3"/>
    <w:next w:val="1"/>
    <w:qFormat/>
    <w:uiPriority w:val="0"/>
    <w:pPr>
      <w:keepNext/>
      <w:keepLines/>
      <w:spacing w:before="360" w:after="120" w:line="240" w:lineRule="auto"/>
    </w:pPr>
    <w:rPr>
      <w:sz w:val="32"/>
      <w:szCs w:val="32"/>
    </w:rPr>
  </w:style>
  <w:style w:type="paragraph" w:styleId="5">
    <w:name w:val="heading 3"/>
    <w:basedOn w:val="3"/>
    <w:next w:val="1"/>
    <w:qFormat/>
    <w:uiPriority w:val="0"/>
    <w:pPr>
      <w:keepNext/>
      <w:keepLines/>
      <w:spacing w:before="320" w:after="80" w:line="240" w:lineRule="auto"/>
    </w:pPr>
    <w:rPr>
      <w:color w:val="434343"/>
      <w:sz w:val="28"/>
      <w:szCs w:val="28"/>
    </w:rPr>
  </w:style>
  <w:style w:type="paragraph" w:styleId="6">
    <w:name w:val="heading 4"/>
    <w:basedOn w:val="3"/>
    <w:next w:val="1"/>
    <w:qFormat/>
    <w:uiPriority w:val="0"/>
    <w:pPr>
      <w:keepNext/>
      <w:keepLines/>
      <w:spacing w:before="280" w:after="80" w:line="240" w:lineRule="auto"/>
    </w:pPr>
    <w:rPr>
      <w:color w:val="666666"/>
      <w:sz w:val="24"/>
      <w:szCs w:val="24"/>
    </w:rPr>
  </w:style>
  <w:style w:type="paragraph" w:styleId="7">
    <w:name w:val="heading 5"/>
    <w:basedOn w:val="3"/>
    <w:next w:val="1"/>
    <w:qFormat/>
    <w:uiPriority w:val="0"/>
    <w:pPr>
      <w:keepNext/>
      <w:keepLines/>
      <w:spacing w:before="240" w:after="80" w:line="240" w:lineRule="auto"/>
    </w:pPr>
    <w:rPr>
      <w:color w:val="666666"/>
      <w:sz w:val="22"/>
      <w:szCs w:val="22"/>
    </w:rPr>
  </w:style>
  <w:style w:type="paragraph" w:styleId="8">
    <w:name w:val="heading 6"/>
    <w:basedOn w:val="3"/>
    <w:next w:val="1"/>
    <w:qFormat/>
    <w:uiPriority w:val="0"/>
    <w:pPr>
      <w:keepNext/>
      <w:keepLines/>
      <w:spacing w:before="240" w:after="80" w:line="240" w:lineRule="auto"/>
    </w:pPr>
    <w:rPr>
      <w:i/>
      <w:color w:val="666666"/>
      <w:sz w:val="22"/>
      <w:szCs w:val="22"/>
    </w:rPr>
  </w:style>
  <w:style w:type="character" w:default="1" w:styleId="15">
    <w:name w:val="Default Paragraph Font"/>
    <w:semiHidden/>
    <w:qFormat/>
    <w:uiPriority w:val="0"/>
  </w:style>
  <w:style w:type="table" w:default="1" w:styleId="17">
    <w:name w:val="Normal Table"/>
    <w:semiHidden/>
    <w:qFormat/>
    <w:uiPriority w:val="0"/>
    <w:tblPr>
      <w:tblLayout w:type="fixed"/>
      <w:tblCellMar>
        <w:top w:w="0" w:type="dxa"/>
        <w:left w:w="108" w:type="dxa"/>
        <w:bottom w:w="0" w:type="dxa"/>
        <w:right w:w="108" w:type="dxa"/>
      </w:tblCellMar>
    </w:tblPr>
  </w:style>
  <w:style w:type="paragraph" w:customStyle="1" w:styleId="3">
    <w:name w:val="LO-normal"/>
    <w:qFormat/>
    <w:uiPriority w:val="0"/>
    <w:pPr>
      <w:widowControl/>
      <w:bidi w:val="0"/>
      <w:jc w:val="left"/>
    </w:pPr>
    <w:rPr>
      <w:rFonts w:ascii="Arial" w:hAnsi="Arial" w:eastAsia="Arial" w:cs="Arial"/>
      <w:color w:val="auto"/>
      <w:sz w:val="22"/>
      <w:szCs w:val="22"/>
      <w:lang w:val="en" w:eastAsia="zh-CN" w:bidi="hi-IN"/>
    </w:rPr>
  </w:style>
  <w:style w:type="paragraph" w:styleId="9">
    <w:name w:val="Body Text"/>
    <w:basedOn w:val="1"/>
    <w:qFormat/>
    <w:uiPriority w:val="0"/>
    <w:pPr>
      <w:spacing w:before="0" w:after="140" w:line="288" w:lineRule="auto"/>
    </w:pPr>
  </w:style>
  <w:style w:type="paragraph" w:styleId="10">
    <w:name w:val="caption"/>
    <w:basedOn w:val="1"/>
    <w:next w:val="1"/>
    <w:qFormat/>
    <w:uiPriority w:val="0"/>
    <w:pPr>
      <w:suppressLineNumbers/>
      <w:spacing w:before="120" w:after="120"/>
    </w:pPr>
    <w:rPr>
      <w:rFonts w:cs="FreeSans"/>
      <w:i/>
      <w:iCs/>
      <w:sz w:val="24"/>
      <w:szCs w:val="24"/>
    </w:rPr>
  </w:style>
  <w:style w:type="paragraph" w:styleId="11">
    <w:name w:val="footer"/>
    <w:basedOn w:val="1"/>
    <w:qFormat/>
    <w:uiPriority w:val="0"/>
  </w:style>
  <w:style w:type="paragraph" w:styleId="12">
    <w:name w:val="List"/>
    <w:basedOn w:val="9"/>
    <w:qFormat/>
    <w:uiPriority w:val="0"/>
    <w:rPr>
      <w:rFonts w:cs="FreeSans"/>
    </w:rPr>
  </w:style>
  <w:style w:type="paragraph" w:styleId="13">
    <w:name w:val="Subtitle"/>
    <w:basedOn w:val="3"/>
    <w:next w:val="1"/>
    <w:qFormat/>
    <w:uiPriority w:val="0"/>
    <w:pPr>
      <w:keepNext/>
      <w:keepLines/>
      <w:spacing w:before="0" w:after="320" w:line="240" w:lineRule="auto"/>
    </w:pPr>
    <w:rPr>
      <w:rFonts w:ascii="Arial" w:hAnsi="Arial" w:eastAsia="Arial" w:cs="Arial"/>
      <w:color w:val="666666"/>
      <w:sz w:val="30"/>
      <w:szCs w:val="30"/>
    </w:rPr>
  </w:style>
  <w:style w:type="paragraph" w:styleId="14">
    <w:name w:val="Title"/>
    <w:basedOn w:val="3"/>
    <w:next w:val="1"/>
    <w:qFormat/>
    <w:uiPriority w:val="0"/>
    <w:pPr>
      <w:keepNext/>
      <w:keepLines/>
      <w:spacing w:before="0" w:after="60" w:line="240" w:lineRule="auto"/>
    </w:pPr>
    <w:rPr>
      <w:sz w:val="52"/>
      <w:szCs w:val="52"/>
    </w:rPr>
  </w:style>
  <w:style w:type="character" w:styleId="16">
    <w:name w:val="Hyperlink"/>
    <w:basedOn w:val="15"/>
    <w:uiPriority w:val="0"/>
    <w:rPr>
      <w:color w:val="0000FF"/>
      <w:u w:val="single"/>
    </w:rPr>
  </w:style>
  <w:style w:type="character" w:customStyle="1" w:styleId="18">
    <w:name w:val="ListLabel 1"/>
    <w:qFormat/>
    <w:uiPriority w:val="0"/>
    <w:rPr>
      <w:rFonts w:ascii="Times New Roman" w:hAnsi="Times New Roman"/>
      <w:sz w:val="18"/>
      <w:u w:val="none"/>
    </w:rPr>
  </w:style>
  <w:style w:type="character" w:customStyle="1" w:styleId="19">
    <w:name w:val="ListLabel 2"/>
    <w:qFormat/>
    <w:uiPriority w:val="0"/>
    <w:rPr>
      <w:u w:val="none"/>
    </w:rPr>
  </w:style>
  <w:style w:type="character" w:customStyle="1" w:styleId="20">
    <w:name w:val="ListLabel 3"/>
    <w:qFormat/>
    <w:uiPriority w:val="0"/>
    <w:rPr>
      <w:u w:val="none"/>
    </w:rPr>
  </w:style>
  <w:style w:type="character" w:customStyle="1" w:styleId="21">
    <w:name w:val="ListLabel 4"/>
    <w:qFormat/>
    <w:uiPriority w:val="0"/>
    <w:rPr>
      <w:u w:val="none"/>
    </w:rPr>
  </w:style>
  <w:style w:type="character" w:customStyle="1" w:styleId="22">
    <w:name w:val="ListLabel 5"/>
    <w:qFormat/>
    <w:uiPriority w:val="0"/>
    <w:rPr>
      <w:u w:val="none"/>
    </w:rPr>
  </w:style>
  <w:style w:type="character" w:customStyle="1" w:styleId="23">
    <w:name w:val="ListLabel 6"/>
    <w:qFormat/>
    <w:uiPriority w:val="0"/>
    <w:rPr>
      <w:u w:val="none"/>
    </w:rPr>
  </w:style>
  <w:style w:type="character" w:customStyle="1" w:styleId="24">
    <w:name w:val="ListLabel 7"/>
    <w:qFormat/>
    <w:uiPriority w:val="0"/>
    <w:rPr>
      <w:u w:val="none"/>
    </w:rPr>
  </w:style>
  <w:style w:type="character" w:customStyle="1" w:styleId="25">
    <w:name w:val="ListLabel 8"/>
    <w:qFormat/>
    <w:uiPriority w:val="0"/>
    <w:rPr>
      <w:u w:val="none"/>
    </w:rPr>
  </w:style>
  <w:style w:type="character" w:customStyle="1" w:styleId="26">
    <w:name w:val="ListLabel 9"/>
    <w:qFormat/>
    <w:uiPriority w:val="0"/>
    <w:rPr>
      <w:u w:val="none"/>
    </w:rPr>
  </w:style>
  <w:style w:type="character" w:customStyle="1" w:styleId="27">
    <w:name w:val="ListLabel 10"/>
    <w:qFormat/>
    <w:uiPriority w:val="0"/>
    <w:rPr>
      <w:rFonts w:ascii="Times New Roman" w:hAnsi="Times New Roman"/>
      <w:sz w:val="18"/>
      <w:u w:val="none"/>
    </w:rPr>
  </w:style>
  <w:style w:type="character" w:customStyle="1" w:styleId="28">
    <w:name w:val="ListLabel 11"/>
    <w:qFormat/>
    <w:uiPriority w:val="0"/>
    <w:rPr>
      <w:u w:val="none"/>
    </w:rPr>
  </w:style>
  <w:style w:type="character" w:customStyle="1" w:styleId="29">
    <w:name w:val="ListLabel 12"/>
    <w:qFormat/>
    <w:uiPriority w:val="0"/>
    <w:rPr>
      <w:u w:val="none"/>
    </w:rPr>
  </w:style>
  <w:style w:type="character" w:customStyle="1" w:styleId="30">
    <w:name w:val="ListLabel 13"/>
    <w:qFormat/>
    <w:uiPriority w:val="0"/>
    <w:rPr>
      <w:u w:val="none"/>
    </w:rPr>
  </w:style>
  <w:style w:type="character" w:customStyle="1" w:styleId="31">
    <w:name w:val="ListLabel 14"/>
    <w:qFormat/>
    <w:uiPriority w:val="0"/>
    <w:rPr>
      <w:u w:val="none"/>
    </w:rPr>
  </w:style>
  <w:style w:type="character" w:customStyle="1" w:styleId="32">
    <w:name w:val="ListLabel 15"/>
    <w:qFormat/>
    <w:uiPriority w:val="0"/>
    <w:rPr>
      <w:u w:val="none"/>
    </w:rPr>
  </w:style>
  <w:style w:type="character" w:customStyle="1" w:styleId="33">
    <w:name w:val="ListLabel 16"/>
    <w:qFormat/>
    <w:uiPriority w:val="0"/>
    <w:rPr>
      <w:u w:val="none"/>
    </w:rPr>
  </w:style>
  <w:style w:type="character" w:customStyle="1" w:styleId="34">
    <w:name w:val="ListLabel 17"/>
    <w:qFormat/>
    <w:uiPriority w:val="0"/>
    <w:rPr>
      <w:u w:val="none"/>
    </w:rPr>
  </w:style>
  <w:style w:type="character" w:customStyle="1" w:styleId="35">
    <w:name w:val="ListLabel 18"/>
    <w:qFormat/>
    <w:uiPriority w:val="0"/>
    <w:rPr>
      <w:u w:val="none"/>
    </w:rPr>
  </w:style>
  <w:style w:type="character" w:customStyle="1" w:styleId="36">
    <w:name w:val="ListLabel 19"/>
    <w:qFormat/>
    <w:uiPriority w:val="0"/>
    <w:rPr>
      <w:rFonts w:ascii="Times New Roman" w:hAnsi="Times New Roman"/>
      <w:sz w:val="18"/>
      <w:u w:val="none"/>
    </w:rPr>
  </w:style>
  <w:style w:type="character" w:customStyle="1" w:styleId="37">
    <w:name w:val="ListLabel 20"/>
    <w:qFormat/>
    <w:uiPriority w:val="0"/>
    <w:rPr>
      <w:u w:val="none"/>
    </w:rPr>
  </w:style>
  <w:style w:type="character" w:customStyle="1" w:styleId="38">
    <w:name w:val="ListLabel 21"/>
    <w:qFormat/>
    <w:uiPriority w:val="0"/>
    <w:rPr>
      <w:u w:val="none"/>
    </w:rPr>
  </w:style>
  <w:style w:type="character" w:customStyle="1" w:styleId="39">
    <w:name w:val="ListLabel 22"/>
    <w:qFormat/>
    <w:uiPriority w:val="0"/>
    <w:rPr>
      <w:u w:val="none"/>
    </w:rPr>
  </w:style>
  <w:style w:type="character" w:customStyle="1" w:styleId="40">
    <w:name w:val="ListLabel 23"/>
    <w:qFormat/>
    <w:uiPriority w:val="0"/>
    <w:rPr>
      <w:u w:val="none"/>
    </w:rPr>
  </w:style>
  <w:style w:type="character" w:customStyle="1" w:styleId="41">
    <w:name w:val="ListLabel 24"/>
    <w:qFormat/>
    <w:uiPriority w:val="0"/>
    <w:rPr>
      <w:u w:val="none"/>
    </w:rPr>
  </w:style>
  <w:style w:type="character" w:customStyle="1" w:styleId="42">
    <w:name w:val="ListLabel 25"/>
    <w:qFormat/>
    <w:uiPriority w:val="0"/>
    <w:rPr>
      <w:u w:val="none"/>
    </w:rPr>
  </w:style>
  <w:style w:type="character" w:customStyle="1" w:styleId="43">
    <w:name w:val="ListLabel 26"/>
    <w:qFormat/>
    <w:uiPriority w:val="0"/>
    <w:rPr>
      <w:u w:val="none"/>
    </w:rPr>
  </w:style>
  <w:style w:type="character" w:customStyle="1" w:styleId="44">
    <w:name w:val="ListLabel 27"/>
    <w:qFormat/>
    <w:uiPriority w:val="0"/>
    <w:rPr>
      <w:u w:val="none"/>
    </w:rPr>
  </w:style>
  <w:style w:type="character" w:customStyle="1" w:styleId="45">
    <w:name w:val="ListLabel 28"/>
    <w:qFormat/>
    <w:uiPriority w:val="0"/>
    <w:rPr>
      <w:rFonts w:ascii="Times New Roman" w:hAnsi="Times New Roman"/>
      <w:sz w:val="18"/>
      <w:u w:val="none"/>
    </w:rPr>
  </w:style>
  <w:style w:type="character" w:customStyle="1" w:styleId="46">
    <w:name w:val="ListLabel 29"/>
    <w:qFormat/>
    <w:uiPriority w:val="0"/>
    <w:rPr>
      <w:u w:val="none"/>
    </w:rPr>
  </w:style>
  <w:style w:type="character" w:customStyle="1" w:styleId="47">
    <w:name w:val="ListLabel 30"/>
    <w:qFormat/>
    <w:uiPriority w:val="0"/>
    <w:rPr>
      <w:u w:val="none"/>
    </w:rPr>
  </w:style>
  <w:style w:type="character" w:customStyle="1" w:styleId="48">
    <w:name w:val="ListLabel 31"/>
    <w:qFormat/>
    <w:uiPriority w:val="0"/>
    <w:rPr>
      <w:u w:val="none"/>
    </w:rPr>
  </w:style>
  <w:style w:type="character" w:customStyle="1" w:styleId="49">
    <w:name w:val="ListLabel 32"/>
    <w:qFormat/>
    <w:uiPriority w:val="0"/>
    <w:rPr>
      <w:u w:val="none"/>
    </w:rPr>
  </w:style>
  <w:style w:type="character" w:customStyle="1" w:styleId="50">
    <w:name w:val="ListLabel 33"/>
    <w:qFormat/>
    <w:uiPriority w:val="0"/>
    <w:rPr>
      <w:u w:val="none"/>
    </w:rPr>
  </w:style>
  <w:style w:type="character" w:customStyle="1" w:styleId="51">
    <w:name w:val="ListLabel 34"/>
    <w:qFormat/>
    <w:uiPriority w:val="0"/>
    <w:rPr>
      <w:u w:val="none"/>
    </w:rPr>
  </w:style>
  <w:style w:type="character" w:customStyle="1" w:styleId="52">
    <w:name w:val="ListLabel 35"/>
    <w:qFormat/>
    <w:uiPriority w:val="0"/>
    <w:rPr>
      <w:u w:val="none"/>
    </w:rPr>
  </w:style>
  <w:style w:type="character" w:customStyle="1" w:styleId="53">
    <w:name w:val="ListLabel 36"/>
    <w:qFormat/>
    <w:uiPriority w:val="0"/>
    <w:rPr>
      <w:u w:val="none"/>
    </w:rPr>
  </w:style>
  <w:style w:type="character" w:customStyle="1" w:styleId="54">
    <w:name w:val="ListLabel 37"/>
    <w:qFormat/>
    <w:uiPriority w:val="0"/>
    <w:rPr>
      <w:rFonts w:ascii="Times New Roman" w:hAnsi="Times New Roman"/>
      <w:sz w:val="18"/>
      <w:u w:val="none"/>
    </w:rPr>
  </w:style>
  <w:style w:type="character" w:customStyle="1" w:styleId="55">
    <w:name w:val="ListLabel 38"/>
    <w:qFormat/>
    <w:uiPriority w:val="0"/>
    <w:rPr>
      <w:u w:val="none"/>
    </w:rPr>
  </w:style>
  <w:style w:type="character" w:customStyle="1" w:styleId="56">
    <w:name w:val="ListLabel 39"/>
    <w:qFormat/>
    <w:uiPriority w:val="0"/>
    <w:rPr>
      <w:u w:val="none"/>
    </w:rPr>
  </w:style>
  <w:style w:type="character" w:customStyle="1" w:styleId="57">
    <w:name w:val="ListLabel 40"/>
    <w:qFormat/>
    <w:uiPriority w:val="0"/>
    <w:rPr>
      <w:u w:val="none"/>
    </w:rPr>
  </w:style>
  <w:style w:type="character" w:customStyle="1" w:styleId="58">
    <w:name w:val="ListLabel 41"/>
    <w:qFormat/>
    <w:uiPriority w:val="0"/>
    <w:rPr>
      <w:u w:val="none"/>
    </w:rPr>
  </w:style>
  <w:style w:type="character" w:customStyle="1" w:styleId="59">
    <w:name w:val="ListLabel 42"/>
    <w:qFormat/>
    <w:uiPriority w:val="0"/>
    <w:rPr>
      <w:u w:val="none"/>
    </w:rPr>
  </w:style>
  <w:style w:type="character" w:customStyle="1" w:styleId="60">
    <w:name w:val="ListLabel 43"/>
    <w:qFormat/>
    <w:uiPriority w:val="0"/>
    <w:rPr>
      <w:u w:val="none"/>
    </w:rPr>
  </w:style>
  <w:style w:type="character" w:customStyle="1" w:styleId="61">
    <w:name w:val="ListLabel 44"/>
    <w:qFormat/>
    <w:uiPriority w:val="0"/>
    <w:rPr>
      <w:u w:val="none"/>
    </w:rPr>
  </w:style>
  <w:style w:type="character" w:customStyle="1" w:styleId="62">
    <w:name w:val="ListLabel 45"/>
    <w:qFormat/>
    <w:uiPriority w:val="0"/>
    <w:rPr>
      <w:u w:val="none"/>
    </w:rPr>
  </w:style>
  <w:style w:type="character" w:customStyle="1" w:styleId="63">
    <w:name w:val="ListLabel 46"/>
    <w:qFormat/>
    <w:uiPriority w:val="0"/>
    <w:rPr>
      <w:rFonts w:ascii="Times New Roman" w:hAnsi="Times New Roman"/>
      <w:sz w:val="18"/>
      <w:u w:val="none"/>
    </w:rPr>
  </w:style>
  <w:style w:type="character" w:customStyle="1" w:styleId="64">
    <w:name w:val="ListLabel 47"/>
    <w:qFormat/>
    <w:uiPriority w:val="0"/>
    <w:rPr>
      <w:u w:val="none"/>
    </w:rPr>
  </w:style>
  <w:style w:type="character" w:customStyle="1" w:styleId="65">
    <w:name w:val="ListLabel 48"/>
    <w:qFormat/>
    <w:uiPriority w:val="0"/>
    <w:rPr>
      <w:u w:val="none"/>
    </w:rPr>
  </w:style>
  <w:style w:type="character" w:customStyle="1" w:styleId="66">
    <w:name w:val="ListLabel 49"/>
    <w:qFormat/>
    <w:uiPriority w:val="0"/>
    <w:rPr>
      <w:u w:val="none"/>
    </w:rPr>
  </w:style>
  <w:style w:type="character" w:customStyle="1" w:styleId="67">
    <w:name w:val="ListLabel 50"/>
    <w:qFormat/>
    <w:uiPriority w:val="0"/>
    <w:rPr>
      <w:u w:val="none"/>
    </w:rPr>
  </w:style>
  <w:style w:type="character" w:customStyle="1" w:styleId="68">
    <w:name w:val="ListLabel 51"/>
    <w:qFormat/>
    <w:uiPriority w:val="0"/>
    <w:rPr>
      <w:u w:val="none"/>
    </w:rPr>
  </w:style>
  <w:style w:type="character" w:customStyle="1" w:styleId="69">
    <w:name w:val="ListLabel 52"/>
    <w:qFormat/>
    <w:uiPriority w:val="0"/>
    <w:rPr>
      <w:u w:val="none"/>
    </w:rPr>
  </w:style>
  <w:style w:type="character" w:customStyle="1" w:styleId="70">
    <w:name w:val="ListLabel 53"/>
    <w:qFormat/>
    <w:uiPriority w:val="0"/>
    <w:rPr>
      <w:u w:val="none"/>
    </w:rPr>
  </w:style>
  <w:style w:type="character" w:customStyle="1" w:styleId="71">
    <w:name w:val="ListLabel 54"/>
    <w:qFormat/>
    <w:uiPriority w:val="0"/>
    <w:rPr>
      <w:u w:val="none"/>
    </w:rPr>
  </w:style>
  <w:style w:type="character" w:customStyle="1" w:styleId="72">
    <w:name w:val="Internet Link"/>
    <w:qFormat/>
    <w:uiPriority w:val="0"/>
    <w:rPr>
      <w:color w:val="000080"/>
      <w:u w:val="single"/>
      <w:lang w:val="zh-CN" w:eastAsia="zh-CN" w:bidi="zh-CN"/>
    </w:rPr>
  </w:style>
  <w:style w:type="paragraph" w:customStyle="1" w:styleId="73">
    <w:name w:val="Heading"/>
    <w:basedOn w:val="1"/>
    <w:next w:val="9"/>
    <w:qFormat/>
    <w:uiPriority w:val="0"/>
    <w:pPr>
      <w:keepNext/>
      <w:spacing w:before="240" w:after="120"/>
    </w:pPr>
    <w:rPr>
      <w:rFonts w:ascii="Liberation Sans" w:hAnsi="Liberation Sans" w:eastAsia="Noto Sans CJK SC Regular" w:cs="FreeSans"/>
      <w:sz w:val="28"/>
      <w:szCs w:val="28"/>
    </w:rPr>
  </w:style>
  <w:style w:type="paragraph" w:customStyle="1" w:styleId="74">
    <w:name w:val="Index"/>
    <w:basedOn w:val="1"/>
    <w:qFormat/>
    <w:uiPriority w:val="0"/>
    <w:pPr>
      <w:suppressLineNumbers/>
    </w:pPr>
    <w:rPr>
      <w:rFonts w:cs="FreeSans"/>
    </w:rPr>
  </w:style>
  <w:style w:type="paragraph" w:customStyle="1" w:styleId="75">
    <w:name w:val="Table Contents"/>
    <w:basedOn w:val="1"/>
    <w:qFormat/>
    <w:uiPriority w:val="0"/>
  </w:style>
  <w:style w:type="paragraph" w:customStyle="1" w:styleId="76">
    <w:name w:val="Table Heading"/>
    <w:basedOn w:val="75"/>
    <w:qFormat/>
    <w:uiPriority w:val="0"/>
  </w:style>
  <w:style w:type="table" w:customStyle="1" w:styleId="77">
    <w:name w:val="Table Normal1"/>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9F9F9"/>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28</Pages>
  <Words>3284</Words>
  <Characters>17442</Characters>
  <Paragraphs>938</Paragraphs>
  <TotalTime>24</TotalTime>
  <ScaleCrop>false</ScaleCrop>
  <LinksUpToDate>false</LinksUpToDate>
  <CharactersWithSpaces>19833</CharactersWithSpaces>
  <Application>WPS Office_11.1.0.8392_F1E327BC-269C-435d-A152-05C5408002CA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2019-08-24T20:49:00Z</dcterms:created>
  <dc:creator>friedri</dc:creator>
  <cp:lastModifiedBy>friedri</cp:lastModifiedBy>
  <dcterms:modified xsi:type="dcterms:W3CDTF">2019-08-31T13:45:27Z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_Bookmark_Zb4x51HvR9_16">
    <vt:lpwstr>ainTextFormattedCitation": "[14]", "previouslyFormattedCitation": "[14]", "formattedCitation": "[14]"}}</vt:lpwstr>
  </property>
  <property fmtid="{D5CDD505-2E9C-101B-9397-08002B2CF9AE}" pid="3" name="KSOProductBuildVer">
    <vt:lpwstr>1033-11.1.0.8392</vt:lpwstr>
  </property>
</Properties>
</file>